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Drucker, Inc. v. Gui, [2009] B.C.J. No. 808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Meyers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9-13 and March 5-6, 2009;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March 10, 16, 30, and April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and March 13, April 1, and 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 oral submissions, March 24 and April 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S076336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808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542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177 A.C.W.S. (3d) 547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Drucker, Inc., Plaintiff, and Nan Yin Gui, also known as Nuanyin Gui, also known as Gui Nuan Yin, also known as Gary Gui, Guiny Consulting Ltd. and Ye Fei Xu,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Damages — Types of damages — Exemplary or punitive damages — Action by company against former employee for conversion and fraud allowed — Employee wrongfully recovered expenses from company for items and services purchased for his personal use and personal use of president — Employee was educated person who knew his conduct was wrong — Failed to provide timely disclosure of relevant documents in his possession — Ordered to repay funds misappropriated as well as $5,000 in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goods — Conversion — Action by company against former employee for conversion and fraud allowed — Employee wrongfully recovered expenses from company for items and services purchased for his personal use and personal use of president — Employee was educated person who knew his conduct was wrong — Failed to provide timely disclosure of relevant documents in his possession — Ordered to repay funds misappropriated as well as $5,000 in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conveyances and preferences — Action by company against former employee for conversion and fraud allowed — Employee wrongfully recovered expenses from company for items and services purchased for his personal use and personal use of president — Employee was educated person who knew his conduct was wrong — Failed to provide timely disclosure of relevant documents in his possession — Ordered to repay funds misappropriated as well as $5,000 in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Drucker against its former employee, Gui, seeking damages for fraud and conversion. Xie was a former president of Drucker. He hired Gui as a consultant in 2004. Over the course of his employment with Drucker, Gui did not have a corporate credit card. He claimed he incurred expenses on his own credit card for Drucker's benefit totalling $82,098. He also claimed Xie incurred expenses on Gui's credit card totalling $35,877 plus $42,500 in USD. Gui transferred these sums to his account from Drucker. He was also compensated $44,25 for his consulting services. Drucker acknowledged certain expenses Gui had incurred to set up its offices, but claimed additional sums appropriated by Gui were fraudulent. These included cable and internet services for Gui's home, parking and gas expenses, cell phone expenses and travel expenses. The expenses incurred by Xie included expenditures at stores and restaurants. Gui claimed he never vet the expenses for their validity, choosing to rely upon Xie's instructions to pay them and to seek reimbursement from Drucker. Drucker challenged the validity of these expenses, as well as consulting fees paid to Gui between July and October 2004. During this time, Drucker was not involved in the business of attempting to locate mining opportunities, the area of Gui's expertise. Gui claimed he worked for Drucker during this period at the request of Xie. Over the course of trial, Gui produced his Visa statements periodically, claiming they were in the possession of the bank. They were actually found to be in Gui's possession all along. Drucker had settled a much larger claim against Xie and others in which it was initially claimed they participated in a scheme to defraud the company of more than $5 million. Gui was not a part of the settlement.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Gui's method of disclosing documents weighed against his credibility. Gui converted funds from Drucker for his own personal use and for the personal use of Xie. He offered no evidence to support his claims computers, workstations, software and other peripherals were purchased for Drucker. Gui was not an innocent dupe with respect to the expenses incurred by Xie. As an educated person, Gui would have known Drucker was a separate entity from Xie and that travel and entertainment expenses Xie was incurring had nothing to do with Drucker's operations. Drucker failed to establish Gui was part of a larger conspiracy to defraud it of more than $5 million, so its claim that Gui's consulting fees were improperly paid was dismissed. Punitive damages of $5,000 were awarded against Gui for his participation in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hyperlink r:id="rId11" w:history="1">
        <w:r>
          <w:rPr>
            <w:rFonts w:ascii="arial" w:eastAsia="arial" w:hAnsi="arial" w:cs="arial"/>
            <w:i/>
            <w:color w:val="0077CC"/>
            <w:sz w:val="20"/>
            <w:u w:val="single"/>
            <w:shd w:val="clear" w:color="auto" w:fill="FFFFFF"/>
            <w:lang w:val="en-US" w:eastAsia="en-US" w:bidi="ar-SA"/>
          </w:rPr>
          <w:t>RSBC 1996, CHAPTER 253, s. 53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2" w:history="1">
        <w:r>
          <w:rPr>
            <w:rFonts w:ascii="arial" w:eastAsia="arial" w:hAnsi="arial" w:cs="arial"/>
            <w:i/>
            <w:color w:val="0077CC"/>
            <w:sz w:val="20"/>
            <w:u w:val="single"/>
            <w:shd w:val="clear" w:color="auto" w:fill="FFFFFF"/>
            <w:lang w:val="en-US" w:eastAsia="en-US" w:bidi="ar-SA"/>
          </w:rPr>
          <w:t>RSBC 1996, CHAPTER 333, s. 4</w:t>
        </w:r>
      </w:hyperlink>
      <w:r>
        <w:rPr>
          <w:rFonts w:ascii="arial" w:eastAsia="arial" w:hAnsi="arial" w:cs="arial"/>
          <w:color w:val="000000"/>
          <w:sz w:val="20"/>
          <w:lang w:val="en-US" w:eastAsia="en-US" w:bidi="ar-SA"/>
        </w:rPr>
        <w:t>, s. 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J.C. Fiddick.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W.W.Y. Leung and S. An,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E.M. MYERS J."/>
            <w:bookmarkEnd w:id="6"/>
            <w:r>
              <w:rPr>
                <w:rFonts w:ascii="arial" w:eastAsia="arial" w:hAnsi="arial" w:cs="arial"/>
                <w:b/>
                <w:color w:val="000000"/>
                <w:sz w:val="30"/>
                <w:lang w:val="en-US" w:eastAsia="en-US" w:bidi="ar-SA"/>
              </w:rPr>
              <w:t>E.M. MYERS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Nuan Yin Gui was an employee of the plaintiff Drucker, Inc. Drucker claims that Mr. Gui took funds of the company for his own benefit, and that he participated in a scheme with the former president of the company, Ronald Xie, to improperly transfer Drucker's funds to Mr. Xie.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Guiny Consulting Ltd. is Mr. Gui's company. Some of the cheques which are the subject of this action were made out to this company. I will not distinguish between Mr. Gui and his company until I come to determine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defendant, Ye Fei Xu, is Mr. Gui's wife. A claim was made against her and Mr. Gui for fraudulent conveyance, however that claim was dropped.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in equitable fraud and conversion. Although the statement of claim pleaded unjust enrichment that was not pursued in argument.</w:t>
      </w:r>
      <w:bookmarkStart w:id="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transfer of the funds to Mr. Gui is not in issue. However, Mr. Gui says the funds were used for proper corporate purposes and at the direction or authorisation of Mr. Xie.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 prior action, Drucker sued Mr. Xie and a number of other parties for fraud. Drucker alleged that the defendants had improperly transferred to themselves approximately US $5,650,000 of company funds. Mr. Gui was not named in that action. Drucker settled the prior action for less than the claimed amount. The effect of that settlement is an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Gui issued a third party notice against Mr. Xie, who, Mr. Gui's counsel advises, is in China. Although served, he did not enter an appearance to the third party proceeding. He was not summoned by either party as a witness. Drucker asks that I draw an adverse inference against Mr. Gui because he did not call Mr. Xie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story begins with Mr. Xie's involvement in Drucker in 2003. Prior to that, the president was Gerald Runolfson.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 securities filing in 2003, Drucker described its business before Mr. Xie's involvement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had limited operations within the last five years, and such operations have been restricted to investigation of opportunities, evaluation and negotiations of the joint venture agreements described below, and joint venture participation in oil exploration projects in the following geographical areas: China in 1997, Egypt in 1999 and Algeria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2003 Drucker's only assets were 1,000,000 shares in Tanganyika Oil Company Ltd., a company listed on the TSX Venture Exchange, and approximately US $250,000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Runolfson was looking for an acquisition for Drucker, because it was not actively involved in a business. A shareholder of Drucker, Raoul Tsacock, thought that Mr. Xie had a potential investment opportunity, and he introduced Mr. Runolfson to Mr. Xie.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Mr. Xie was president of ChinaNetTV Holdings. Mr. Xie had degrees in business and law from universities in China and an LLB from Dalhousie. He was a member of the Law Society of Upper Canada. Mr. Xie advised Mr. Runolfson of the opportunity of acquiring a Chinese company, Beijing Beike-Masic Automation Engineering Company Limited ("BK").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Drucker entered into a reverse take-over arrangement with BK in 2003, the result of which was that BK and a company controlled by Tsacock - Richco Investors, Inc. - became the majority shareholders of Drucker. While that greatly over-simplifies the transaction, it is sufficient for the purposes of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Also as a result of the BK transaction, between June and August 2003 changes were made to the board and executive slate of Drucker. Mr. Xie became the president in place of Mr. Runolfson, who became secretary. Mr. Xie also became the CEO and acting CFO. Mr. Nick Ringma became the vice-president. Drucker's board was comprised of Messrs. Runolfson, Xie, Hong Liang, Ringma and three BK nominees.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Xie and Mr. Ringma had co-signing authority for the company's bank accounts. All of the payments by Drucker to Mr. Gui which are the subject of this litigation were by way of cheques signed by both Mr. Ringma and Mr. Xie.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of the BK transaction, Drucker operated out of a one-room executive suite office on Pender Avenue. Around March, 2004 Drucker moved into larger premises at Cathedral Place on Georgia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Gui has a doctorate of engineering with a specialization in mining exploration engineering. He did research on mining and geological engineering and taught at the Geology University of China. He was also a consultant on mining rights for a company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Gui immigrated to Canada in 2002. In August 2003 he began to work as a consultant for ChinaNet. Mr. Xie was then the president of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Gui said that in January, 2004 Mr. Xie asked him to work part-time for Drucker while continuing his work for ChinaNet.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Gui says Mr. Xie initially hired him to provide consulting services to Drucker and that Mr. Xie told him that Drucker was interested in purchasing mining rights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Gui said that his consulting duties involved researching mining opportunities in China and reporting on them to Mr. Xie. He gradually took on administrative duties. The administrative duties involved collecting invoices, preparing expense statements for himself and Mr. Xie and purchasing office equipment, supplies, computers, furniture and flight tickets. Mr. Gui set up the office at Cathedral Place when the company moved there in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Gui initially worked from home, but around March 2004, he began to work at Drucker's office during the day and the work became full-time. Mr. Gui says he also worked at home in the evenings. Mr. Gui says it was necessary to work in the evening to contact individuals regarding mining opportunities in China because of the time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Fall of 2005, the company's premises were abandoned. In June 2006 Mr. Runolfson regained control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payments to Mr. Gui which are the subject of this claim fall into three categories: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payments for expenses Mr. Gui he said he incurred on behalf of the company. Some moneys were paid in advance, others by way of reimbursement. The total of these payments is $82,098;</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payments for expenses Mr. Gui said were incurred by Mr. Xie, but run through Mr. Gui's personal credit card or paid by way of cash advances to Mr. Gui. These payments total $35,877 and US $42,500;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payments for consulting and administrative services totalling $44,295.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Payments to Mr. Gui for expenses he said he incurred on behalf of the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Gui did not have a corporate credit card and says he incurred expenses for the company using his own Visa card, for which he was reimbursed by Drucker. In addition, Mr. Gui used cash received in advance from Drucker to pay expenses and also received advances for anticipated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Gui said that the process with respect to his expense claims was as follows. Mr. Gui filled out expense reimbursement forms and submitted them to Mr. Xie for approval. Mr. Xie co-signed cheques with Mr. Ringma, reimbursing Mr. Gui for the expenses. Mr. Gui then forwarded the expense reimbursement forms and any supporting documents to Danny Hon, a Certified General Accountant at Hon &amp;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Hon provided bookkeeping services to Drucker. He was not Drucker's auditor; he prepared quarterly financial statements which he forwarded to the auditors. He reported to Mr. Xie.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Gui testified that he was responsible for equipping the office at Cathedral Place when it was set up in March 2004 and charged the expenses to his credit card. Drucker acknowledges that $11,500 Mr. Gui received in January, 2004 was for legitimate expenses for furniture, computers and office supplies and has dropped its claim for those amounts. The expense reimbursements which the plaintiff claims are illegitimate are set out in Appendix A. They total $82,098.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 the most part, no invoices were attached to the expense statements which were produced at trial. The only back-up provided was Mr. Gui's Visa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expenses included a long list of multiple purchases from stores such as Staples, and Future Shop comprising items such as laptop computers, office furniture and stationary.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addition, the expenses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Shaw cable service/ AOL:</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Gui says this was to enable him to use the internet at home for his work.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Parking and Gas: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Gui says he was told by Mr. Xie he could charge his gas and parking to the company. The parking charges are for hourly or daily usage.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Rogers wireless:</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Cell phone expenses.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Travel expenses: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travel expenses included a trip Mr. Xie and Mr. Gui took to Tofino with their families. Mr. Gui says this was a reward for his hard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Payments to Mr. Gui for expenses incurred by Mr. Xie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Gui says that a number of his expense statements included expenses of Mr. Xie which Mr. Xie submitted to him for reimbursement from the company. Mr. Gui says he included Mr. Xie's expenses in his own expense statements, received the money for them and then passed the funds on to Mr. Xie. There was no indication on the expense statements or any other documents that Mr. Gui was being reimbursed for Mr. Xie's expenses, as opposed to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 to Mr. Gui, all of the payments to Mr. Xie would be routed through Mr. Gui's account. Mr. Xie got cheques from the company and deposited the funds to his account. Mr. Gui says he paid Mr. Xie in cash or in bank drafts. In explaining one large cash transaction, Mr. Gui says he made a bank withdrawal of $25,483 in cash, put it in his pocket, and gave it to Mr. Xie.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occasion, Mr. Gui also paid stores and restaurants for some of Mr. Xie's expenses in cash, again claiming these expenses as if they were his own. This went to the extent of going to restaurants after Mr. Xie finished having dinner and paying the restaurant tab. If the restaurants were not downtown, Mr. Gui would give Mr. Xie or the restaurant his credit card number over the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was all done - according to Mr. Gui - on Mr. Xie's instructions. Mr. Gui did not vet Mr. Xie's expenses for their validity. He followed Mr. Xie's instructions. In cross-examination Mr. Gui said "If Mr. Xie said they are [proper expenses] they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Some of the expense reimbursement forms submitted by Mr. Gui had a modicum of explanation on them. These total $35,877.46. In addition, there were two payments in US funds, totalling $42,500 for which no explanation was provided. The payments are set out in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Gui's bank statements show cash withdrawals or bank drafts for most of the amounts he says he paid to Mr. Xie, but the records do not indicate a payee for the drafts. Drucker did not seriously challenge that Mr. Gui made the payments to Mr. Xie, as opposed to transferring them to an entity or person related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August 2004, Mr. Gui asked Mr. Xie to sign two documents acknowledging cash payments received that month, totalling $67,983. Mr. Gui says he asked Mr. Xie to sign the documents because they comprised a number of separate cash payments and since Mr. Xie was a busy person he was concerned that Mr. Xie might forget about the payments and ask for them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Gui said he presented both documents to Mr. Xie at the same time. Mr. Xie reviewed them but refused to sign them. According to Mr. Gui, Mr. Xie told him: "I received all these moneys but it is not necessary for me to sign because I am a representative of Drucker and I received the money." Mr. Gui said he felt uncomfortable with the response but "He [Mr. Xie] is the boss - he gave instructions and I took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Payments to Mr. Gui for consulting services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Gui rendered Drucker monthly invoices for his administrative and consulting services. The fee was pre-arranged or pre-approved by Mr. Xie. For January, February and March, 2004 Mr. Gui received $1,869.16 plus GST. The amount of the monthly fees then started to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Drucker claims that the fees billed and received by Mr. Gui from July to October 2004 are not legitimate. In particular it points to the fact that Drucker was not involved in the business of attempting to locate mining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Gui says he did the research work and that it was requested by Mr. Xie. He says that Drucker Mining Inc. - a subsidiary of the plaintiff - was pursuing mining opportunities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consulting fee payments challenged by Drucker are set out in Appendix C. They total $44,295.00.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DOCUMENTARY EVIDENCE AND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Documentation of the relevant transactions and document production in this case have been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Gui said he did not keep copies of the expense reports submitted by him. While those were located by Drucker, they did not have any back-up invoices attached to them. Mr. Gui claims that when he forwarded the reports to Mr. Hon, the receipts were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Hon did not keep copies of what was sent to him. Further, Mr. Hon said that he upgraded the accounting software which he used and did not feel it necessary to convert the Drucker data to the new version. Therefore the company's general ledger was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Hon said his practice was to check the expense reports for supporting documentation. If this was missing he would record the amount as a receivable from the person claiming the expense. His job was not to perform an audit of the expenses or to check their legitimacy. He does not recall whether he ever had occasion to ask Mr. Gui for supporting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think it is significant that Mr. Hon did not say that proper receipts for the expensed items were, in fact, received by him as a matter of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accounting documents disclosed by Drucker were, according to Mr. Runolfson, found in boxes or folders left in the company's office after Mr. Xie's and Mr. Gui's departure. They were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documents produced by Mr. Gui to verify his claimed expenses were primarily his credit card statements and bank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Gui disclosed his Visa statements in stages during the discovery process and through the course of the trial. While he said this was because he had to get them from his bank, it turned out that he had them in his house. He said the delay was caused because he had moved homes and his wife - who was in China for part of the relevant time - had to find them for him on her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will say here that the way the documents were produced by Mr. Gui negatively affect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plaintiff's causes of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its statement of claim, Drucker claimed fraud and unjust enrichment. During the trial I allowed Drucker to amend its statement of claim to plead conversion. That amendment did not require the pleading of additional facts. In its final argument, Drucker did not pursue unjust enrichment and it argued equitable fraud instead of common law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reason for the claim in equitable fraud is that common law fraud requires a fraudulent misrepresentation and reliance. Contrary to the ordinary usage of the word, the common law cause of action for fraud does not encompass what is, in essence, alleged here: theft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Drucker relies on two cases with respect to equitable fraud: the Supreme Court of Canada's judgment in </w:t>
      </w:r>
      <w:r>
        <w:rPr>
          <w:rFonts w:ascii="arial" w:eastAsia="arial" w:hAnsi="arial" w:cs="arial"/>
          <w:b/>
          <w:i/>
          <w:color w:val="000000"/>
          <w:sz w:val="20"/>
          <w:lang w:val="en-US" w:eastAsia="en-US" w:bidi="ar-SA"/>
        </w:rPr>
        <w:t>Sylvan Lake Golf &amp; Tennis Club Ltd. v. Performance Industries Ltd.</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2002 SCC 19</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[2002] 1 S.C.R. 678</w:t>
        </w:r>
      </w:hyperlink>
      <w:r>
        <w:rPr>
          <w:rFonts w:ascii="arial" w:eastAsia="arial" w:hAnsi="arial" w:cs="arial"/>
          <w:color w:val="000000"/>
          <w:sz w:val="20"/>
          <w:lang w:val="en-US" w:eastAsia="en-US" w:bidi="ar-SA"/>
        </w:rPr>
        <w:t xml:space="preserve">, and the judgment of this Court in </w:t>
      </w:r>
      <w:r>
        <w:rPr>
          <w:rFonts w:ascii="arial" w:eastAsia="arial" w:hAnsi="arial" w:cs="arial"/>
          <w:b/>
          <w:i/>
          <w:color w:val="000000"/>
          <w:sz w:val="20"/>
          <w:lang w:val="en-US" w:eastAsia="en-US" w:bidi="ar-SA"/>
        </w:rPr>
        <w:t>Lawson Graphics Pacific Ltd. v. Simpson</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(1987), 12 B.C.L.R. (2d) 126</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36 B.L.R. 223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Sylvan Lake</w:t>
      </w:r>
      <w:r>
        <w:rPr>
          <w:rFonts w:ascii="arial" w:eastAsia="arial" w:hAnsi="arial" w:cs="arial"/>
          <w:color w:val="000000"/>
          <w:sz w:val="20"/>
          <w:lang w:val="en-US" w:eastAsia="en-US" w:bidi="ar-SA"/>
        </w:rPr>
        <w:t xml:space="preserve">, equitable fraud was used as a basis for a cause of action in rectification. In </w:t>
      </w:r>
      <w:r>
        <w:rPr>
          <w:rFonts w:ascii="arial" w:eastAsia="arial" w:hAnsi="arial" w:cs="arial"/>
          <w:b/>
          <w:i/>
          <w:color w:val="000000"/>
          <w:sz w:val="20"/>
          <w:lang w:val="en-US" w:eastAsia="en-US" w:bidi="ar-SA"/>
        </w:rPr>
        <w:t>Lawson Graphics</w:t>
      </w:r>
      <w:r>
        <w:rPr>
          <w:rFonts w:ascii="arial" w:eastAsia="arial" w:hAnsi="arial" w:cs="arial"/>
          <w:color w:val="000000"/>
          <w:sz w:val="20"/>
          <w:lang w:val="en-US" w:eastAsia="en-US" w:bidi="ar-SA"/>
        </w:rPr>
        <w:t>, equitable fraud was used as a basis for a claim of breach of trust. It is therefore not clear from these cases that equitable fraud can itself be a cause of action in the absence of a special relationship between the parties such as trustee and beneficiary. No such special relationship exists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That said, the point was not fully argued and I do not think it necessary for me to deal with the arcana of equitable fraud, because the tort of conversion achieves the same result with respect to what is alleged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Royal Canadian Legion, Branch No. 15 v. Burkitt</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2005 BCSC 1752</w:t>
        </w:r>
      </w:hyperlink>
      <w:r>
        <w:rPr>
          <w:rFonts w:ascii="arial" w:eastAsia="arial" w:hAnsi="arial" w:cs="arial"/>
          <w:color w:val="000000"/>
          <w:sz w:val="20"/>
          <w:lang w:val="en-US" w:eastAsia="en-US" w:bidi="ar-SA"/>
        </w:rPr>
        <w:t>, Russell J. reviewed a number of cases in which the tort of conversion had been applied to situations "involving misappropriated or wrongfully used funds". After concluding her analysis of the cases, Russell J. stated at para.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these cases, conversion is made out where there is a positive wrongful act or dealing with goods, or in this case, funds, in a manner, and with an intention, inconsistent with the owner's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para. 24 above, I set out the three categories of funds received by Mr. Gui which are the subject of this claim. While the credibility of Mr. Gui is common to them all, they are nevertheless discrete and I will address each of them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Payments to Mr. Gui for expenses he said he incurred on behalf of the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stated above, Drucker acknowledged that the first two cheques received by Mr. Gui totalling $11,757 were for legitimate expenses. They are not included in the list of cheques set out in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Drucker notes that the Cathedral Place premises leased by Drucker consisted of a small conference room, two offices and a small reception area. It argues that after Mr. Gui spent the $11,757, the Cathedral Place office was kitted out and that the balance of the expenses were illegitimate.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Gui effectively acknowledged this. He stated: "Basically after spending this much money we were able to start work -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next, and only other detailed expense statement prepared by Mr. Gui, is dated September 16, 2004. This includes a claim for $4,121.97 for a Sony VGN-A170CNT. This appears to be for a Sony notebook computer. There is no indication where this computer was bought and there is no evidence that Mr. Gui actually incurred this expense. In his discovery evidence which was read in, Mr. Gui stated that he purchased two notebook computers for Drucker but he did not know who used them. If, in fact, Mr. Gui purchased the Sony computer or the laptops at all, I find that he bought them for his own and his family's personal use or for Mr. Xie's personal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further large amount on this expense statement was for an HPM1080N computer, which appears to be a Hewlett Packard media centre desk top computer. While there is a corresponding expense at Future Shop on Mr. Gui's credit card, there is no evidence that this computer was for or used by Drucker. I do not find Mr. Gui's explanation for this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Another amount claimed on the September 16, 2004 expense reimbursement form was $2,534.53 for stationery. In cross-examination, Mr. Gui could offer no explanation as to why such a large amount of stationery would be required for an office the size of Drucker's. As with the other items, there is no detail provided to show what was supposedly purchased. I therefore do not find Mr. Gui's explanation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the balance of the amounts set out in that and the other expense statement are not legitimate, with the following exceptions: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$318.04 for a compact fridge and microwave;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$921.56 for a work station and cabinet;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$500.95 for Simply Accounting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Gui is liable for the conversion of the funds received by him. The total amount of the funds converted is $80,359. I will deal with the issue of the joint liability of, and apportionment between, Mr. Gui, Mr. Xie and Mr. Ringma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do not find it necessary to draw the adverse inference requested by Drucker to come to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Payments to Mr. Gui for expenses incurred by Mr. Xie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expenses which Mr. Gui said he submitted and ran through his account, in order to reimburse Mr. Xie, include things such as travel to Europe and clothing. On their face, they cannot have anything to do with the legitimate operations of Drucker.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With respect to expenses for equipment and electronics, Mr. Runolfson testified that when he regained control of the board and the company, the offices had been abandoned and that there was virtually nothing left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fact that Mr. Gui asked Mr. Xie to sign the acknowledgments for cash he gave him shows that Mr. Gui was uncomfortable with what 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Gui is an educated person. He acknowledged he understood that Drucker was a separate entity from Mr. Xie. The use of cash is indicative of financial transactions that Mr. Gui and Mr. Xie did not want to be traceable. Mr. Gui had to have known that representing the expenses as his own was dishonest. He also had to have known that the so-called expenses were illegitimate.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do not accept Mr. Gui's argument that he was acting as a mere agent for Mr. Xie and as such cannot be held liable. This is not a case of an employee of a company simply processing improper payments made to another party: Mr. Gui ran the money through his own account in an attempt to obfuscate the reality. He was far more than 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that Mr. Gui was not an innocent dupe. Rather, Mr. Gui knowingly participated with Mr. Xie in a scheme to improperly take funds from Drucker and transfer them to Mr. Xie. Mr. Gui is therefore liable for conversion of these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Another argument raised by Mr. Gui is that Drucker is estopped from asserting its claim. This is so, it is argued, because by the last half of 2003 Mr. Runolfson became suspicious of Mr. Xie and the state of Drucker's treasury, but took no steps to prevent any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This argument founders on two grounds. First, there is no evidence that Mr. Runolfson's state of knowledge advanced beyond that of mere suspicion. Second, there is no credible evidence of detrimental reliance on the part of Mr. Gui.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Mr. Gui is liable for having converted $35,877.46 and US $42,500. Once again, I will return to the issue of the joint liability of Mr. Gui, Mr. Xie and Mr. Ringma, as well as apportionment of liability between them,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not find it necessary to draw the adverse inference requested by Drucker to come to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 Gui's Consulting Services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thrust of Drucker's submissions with respect to the consulting services paid to Mr. Gui are that they were excessive given the work he did for the company. Mr. Gui, it says, did simple clerical and office tasks. Furthermore, in August, 2004 Drucker hired a receptionist who took on some of those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Drucker says that Mr. Gui could not have been looking for mining opportunities in China because Mr. Runolfson testified that Drucker was not involved in that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For the following reasons, I do not agree with Drucker's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not prepared to draw an adverse inference from Mr. Gui not having called Mr. Xie as a witness. Since this is in part based on the prior litigation, I will explain my reasons for this below, after I have reviewed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After the reverse takeover, Mr. Runolfson was effectively sidelined from the company. He was no longer president. If the new owners wished to take the company in a new direction, then that was up to them; there is certainly no evidence adduced or argument made indicating that they could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This is not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case, nor is it a case of breach of contract. The plaintiff claims in fraud and conversion. If analysed as an equitable fraud case, the plaintiff must show dishonest intent. If analysed as a conversion case the plaintiff must show a wrongful (i.e. without proper authorisation) taking of the funds. In the context of this case, they amount to the same thing. For either cause of action, it is not enough to only show that the plaintiff did not receive full value for the amount paid. In any event, I do not have sufficient evidence to allow me to reach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Nor is this a case where a contractor is alleged to have submitted invoices falsely claiming time worked. Mr. Gui's fee was not determined by the hour or by a specific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therefore do not see a sufficient basis for this part of the claim, unless I am to infer dishonesty from the other aspects of this claim. Torts alleging morally reprehensible conduct no longer have to be proved with anything more than the civil standard of balance of probabilities (see: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[2008] 3 S.C.R. 41</w:t>
        </w:r>
      </w:hyperlink>
      <w:r>
        <w:rPr>
          <w:rFonts w:ascii="arial" w:eastAsia="arial" w:hAnsi="arial" w:cs="arial"/>
          <w:color w:val="000000"/>
          <w:sz w:val="20"/>
          <w:lang w:val="en-US" w:eastAsia="en-US" w:bidi="ar-SA"/>
        </w:rPr>
        <w:t>) but even so, I do not think I can draw this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effect of the settlement of the prior claims brought against Mr. Xie and others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I mentioned above, in March 2006 Drucker launched an action against Mr. Xie, Mr. Ringma, and a number of other persons and entities. In addition it named John and Jane Doe and two John Doe companies. Mr. Gui was not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action pleaded that Mr. Xie and Mr. Ringma caused the company to sell the Tanganyika shares without board authorisation. Of greater relevance to the case at bar, the action claimed conspiracy to defraud Drucker: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 date unknown to the Plaintiff, but likely about April 2003, Xie and Ringma, together with the other Defendants ... entered into a conspiracy to defraud the Plaintiff "the "Conspiracy" the object of which was to take or obtain for themselves the value of the funds of the Plaintiff and the value of the Tanganyika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furtherance of the objects of the Conspiracy, between July, 2003 and July, 2005, Xie and Ringma and the other Defendants took, among other actions,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wrote cheques or made wire transfers from the Plaintiff's Bank Accounts to themselves or to companies or other entities which they owned or controlled;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prepared false invoices and receipts for some of the cheques and wire transfers in order to give the appearance that the Plaintiff's funds were being properly spent;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submitted and caused the Plaintiff to pay false reports when such expenses were either not incurred or, if incurred, were not incurred for the purpose of completing the Acquisition Agreement [for B.K.] or any other legitimate business of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statement of claim alleged that the amount improperly taken by the defendants was "approximately $5,650,000".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action at bar was commenced in September, 2007. The statement of claim alleges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 April 6, 2004 and June 2, 2005, the Defendant Gui and Guiny took part in a scheme orchestrated and implemented with Ronald Xie ... pursuant to which the Defendants fraudulently obtained money from the Plaintiff. Pursuant to this scheme, the Defendants received cheques drawn of the Plaintiff's account purporting to reimburse the Defendants for expenses for which they had not incurred, or to compensate them for services which they had not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statement of claim then lists the cheques which I have set out in the appendixes.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Runolfson said that there was also another action launched against Mr. Liang, but no details of that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dispute that the amounts claimed against Mr. Xie and Mr. Ringma in the prior action included the amounts which are now being claimed against Mr. Gui. Nor is there any dispute that Mr. Gui is jointly liable with Mr. Xie and Mr. Ringma for the wrongs proved in the current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Runolfson testified that the action against Mr. Xie and Mr. Ringma was settled for "2 million in value", comprised of shares in ChinaNet and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At common law a judgment against one joint tortfeasor released all the other joint tortfeasors from liability. A release given to one joint tortfeasor had the same effect. That was modified by s. 53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but only with respect to remaining tortfeasors who were parties to the action which was settled or in which a judgment was taken: see </w:t>
      </w:r>
      <w:r>
        <w:rPr>
          <w:rFonts w:ascii="arial" w:eastAsia="arial" w:hAnsi="arial" w:cs="arial"/>
          <w:b/>
          <w:i/>
          <w:color w:val="000000"/>
          <w:sz w:val="20"/>
          <w:lang w:val="en-US" w:eastAsia="en-US" w:bidi="ar-SA"/>
        </w:rPr>
        <w:t>Les Constructions Scarmar Limitee v. Geddes Contracting Co.</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(1989), 38 B.C.L.R. (2d) 188</w:t>
        </w:r>
      </w:hyperlink>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61 D.L.R. (4th) 328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first question which arises is whether Drucker released Mr. Gui when it settled with Mr. Xie? I was advised through the course of the trial and argument that the settlement with Mr. Xie and Mr. Ringma was implemented through what has become known as a "B.C. Ferries" settlement agreement named after </w:t>
      </w:r>
      <w:r>
        <w:rPr>
          <w:rFonts w:ascii="arial" w:eastAsia="arial" w:hAnsi="arial" w:cs="arial"/>
          <w:b/>
          <w:i/>
          <w:color w:val="000000"/>
          <w:sz w:val="20"/>
          <w:lang w:val="en-US" w:eastAsia="en-US" w:bidi="ar-SA"/>
        </w:rPr>
        <w:t>British Columbia Ferry Corp. v. T&amp;N Plc</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65 B.C.A.C. 118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"B.C. Ferries" form of settlement is meant to accomplish two main goals. The first is to allow a plaintiff to settle with one joint tortfeasor without releasing the remaining joint tortfeasors. The second object is to prevent the non-settling tortfeasors from bringing the settling tortfeasors back into the action through a third party claim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order to avoid releasing the non-settling joint tortfeasors, no release is given. Rather, the plaintiff covenants not to sue the settling defendant. Further, no consent dismissal order is made. Instead, the plaintiff discontinues its action against the settling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order to prevent the non-settling tortfeasors from being able to claim contribution and indemnity from the settling tortfeasors, the plaintiff covenants to only claim against the non-settling tortfeasors for their share of fault pursuant to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That being the case, there is nothing for the non-settling tortfeasors to claim contribution or indemnity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Drucker did not originally adduce the settlement agreements with Mr. Xie or Mr. Ringma in this trial. Because the time for the trial was insufficient to allow for oral argument, written arguments were submitted. In a hearing after the conclusion of the trial, I questioned how I could place any reliance on the settlement agreement with Mr. Xie without it being in evidence. At that point, both parties agreed that the agreement should be admitted, and I so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That settlement agreement was with Mr. Xie only. In a memo to counsel I raised the point that the agreement with Mr. Ringma was not in evidence. Once again, that was agreed to be adduced and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settlement agreement with Mr. Xie was dated November, 2006. (The blank for the day of the month was not filled in.) It contained the provisions required to accomplish the "BC Ferries" settlement and I will not set them out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settlement agreement with Mr. Xie also contained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[Drucker] shall, at the first reasonable opportunity, advise the Adjudicator in such Subsequent Claim that Drucker waives any right to recover from any Person any portion of the loss claimed by or through Drucker in the Initial Claim, which the Adjudicator may attribute or apportion to the fault of any of the Xie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Gui says that Drucker did not comply with this clause and therefore cannot rely on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support of the same point, Mr. Gui also says that Drucker should have referred to the settlement agreement in its statement of claim. This flows from the following statement of Wood J.A., for the Court, in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avoid any uncertainty that may arise with respect to the need for a determination at trial of the degree of fault, if any, attributable to non-defendants, I am of the view that the express waiver should properly form part of the pleadings in this action, and that a further amendment should be made to the Statement of Claim, wherein the substance of that waiver is clearly set out. When that is done, there will be no doubt as to the limits of the plaintiffs' claim for damages, nor will there be any uncertainty as to the obligation of the trial judge to determine what fault, if any, for the plaintiffs' loss is attributable to others than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settlement agreement with Mr. Ringma was less detailed, but it contained a covenant not to sue, instead of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Drucker should have specifically pleaded in its statement of claim that it was only pursuing Mr. Gui for what is attributable to his fault. I do not accept Drucker's argument that Wood J.A.'s judgment on that point is distinguishable because in the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case the remaining tortfeasors were parties in the original action, whereas in this case a separate action was brought against the non-settling tortfeasor. If anything, it is more important to plead the waiver where this is a separate action, because in that context it is less likely the Court or the non-settling tortfeasor would know about the form and effect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Drucker did, however, refer to the effect of the settlement during the course of the trial. I will therefore allow it to rely on the agreement, but this issue may be raised in the context of its claim for special costs: see para. 137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therefore agree with Drucker's argument that the settlements with Mr. Xie and Mr. Ringma did not release Mr. Gui from his potential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Gui argues that Drucker is not entitled to pursue this action against him because it re-litigates issues that were disposed of, or could have been disposed of, in the action against Mr. Xie. That argument must be rejected: there is nothing to prevent a plaintiff from pursuing separate actions against joint tortfeasors, as cumbersome as that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Allocation of Fault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now turn to consider the fault attributable to Mr. Gui, in accordance with s. 4(1)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If damage or loss has been caused by the fault of 2 or more persons, the court must determine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Drucker's argument with respect to apportionment begins by noting - correctly - that apportionment or allocation of fault does not depend on causation principles. As was stated by the Court of Appeal in </w:t>
      </w:r>
      <w:r>
        <w:rPr>
          <w:rFonts w:ascii="arial" w:eastAsia="arial" w:hAnsi="arial" w:cs="arial"/>
          <w:b/>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 apportionment must be made on the basis of "</w:t>
      </w:r>
      <w:r>
        <w:rPr>
          <w:rFonts w:ascii="arial" w:eastAsia="arial" w:hAnsi="arial" w:cs="arial"/>
          <w:i/>
          <w:color w:val="000000"/>
          <w:sz w:val="20"/>
          <w:lang w:val="en-US" w:eastAsia="en-US" w:bidi="ar-SA"/>
        </w:rPr>
        <w:t>the degree</w:t>
      </w:r>
      <w:r>
        <w:rPr>
          <w:rFonts w:ascii="arial" w:eastAsia="arial" w:hAnsi="arial" w:cs="arial"/>
          <w:color w:val="000000"/>
          <w:sz w:val="20"/>
          <w:lang w:val="en-US" w:eastAsia="en-US" w:bidi="ar-SA"/>
        </w:rPr>
        <w:t xml:space="preserve"> to which each person was </w:t>
      </w:r>
      <w:r>
        <w:rPr>
          <w:rFonts w:ascii="arial" w:eastAsia="arial" w:hAnsi="arial" w:cs="arial"/>
          <w:i/>
          <w:color w:val="000000"/>
          <w:sz w:val="20"/>
          <w:lang w:val="en-US" w:eastAsia="en-US" w:bidi="ar-SA"/>
        </w:rPr>
        <w:t>at fault</w:t>
      </w:r>
      <w:r>
        <w:rPr>
          <w:rFonts w:ascii="arial" w:eastAsia="arial" w:hAnsi="arial" w:cs="arial"/>
          <w:color w:val="000000"/>
          <w:sz w:val="20"/>
          <w:lang w:val="en-US" w:eastAsia="en-US" w:bidi="ar-SA"/>
        </w:rPr>
        <w:t xml:space="preserve">". It does not say that the apportionment should be on the basis of the degree to which each person's fault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Drucker then emphasises that the settlement with Mr. Xie was a recognition by Drucker and Mr. Xie that Mr. Xie was 40% at fault for the $5,000,000 claim because the $2,000,000 recovered represents 40% of the amount claimed. That, it is argued, leaves Mr. Xie, Mr. Gui and any other joint tortfeasors collectively liable for the remaining 60% of the damages, or $3,000,000.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Next Drucker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Gui was a relatively minor player in the events that caused Drucker's $5,000,000 losses, the Plaintiff does not feel that its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relative moral blameworthiness is as high as Xie's or Ringma's, or of the other tortfeasors with whom Gui is jointly and severally liable for the remaining $3,000,000. Rather, the Plaintiff believes that Gui's degree of fault is well-represented by the roughly $200,000.00 claimed from him in this action, or approximately 4% of the total losses. Importantly, this claim does not necessarily represent the amount of damages that Gui directly </w:t>
      </w:r>
      <w:r>
        <w:rPr>
          <w:rFonts w:ascii="arial" w:eastAsia="arial" w:hAnsi="arial" w:cs="arial"/>
          <w:color w:val="000000"/>
          <w:sz w:val="20"/>
          <w:u w:val="single"/>
          <w:lang w:val="en-US" w:eastAsia="en-US" w:bidi="ar-SA"/>
        </w:rPr>
        <w:t>caused</w:t>
      </w:r>
      <w:r>
        <w:rPr>
          <w:rFonts w:ascii="arial" w:eastAsia="arial" w:hAnsi="arial" w:cs="arial"/>
          <w:color w:val="000000"/>
          <w:sz w:val="20"/>
          <w:lang w:val="en-US" w:eastAsia="en-US" w:bidi="ar-SA"/>
        </w:rPr>
        <w:t xml:space="preserve"> the Plaintiff. Rather, by calculating this amount based on Gui's wrongful actions that were explored in these proceedings, the Plaintiff believes that this result is a reasonable proxy for Gui's degree of fault or relative moral blameworthiness.</w:t>
      </w:r>
      <w:bookmarkStart w:id="8"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Drucker's argument amounts to this: Mr. Gui is jointly liable for a loss of $5,000,000 caused to Drucker, $3,000,000 of which remains un-recovered. Mr. Gui is responsible for his share of the remaining $3,000,000. An appropriate allocation of his fault is the amount of the cheques which form the subject matter of this claim, representing 4% of the $5,000,000.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think that argument is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All that is pleaded in this action is a scheme to defraud with respect to cheques totalling CDN $214,705.37 and US $56,000. There was no evidence in this trial of any scheme, conspiracy or loss to Drucker beyond the total amount of the cheques forming the subject of this claim. I have found that Drucker proved US $42,500 of that claim and CDN $116,326. Therefore, all that has been proved in the case at bar is that Mr. Gui participated in a scheme to convert that amount. There was no evidence of a wider conspiracy and no evidence of a larger loss to Drucker beyond the funds I have determined to have been improperly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Neither the settlement agreement nor the claim between Mr. Xie and Drucker can be used to prove a larger claim or conspiracy, or to fix the amount of Mr. Gui's fault in this action. They were not judicial pronouncements, and Mr. Gui was not a party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On the other hand, it is clear from the evidence in front of me - and the argument of Drucker acknowledged this - that Mr. Xie, Mr. Gui and Mr. Ringma were joint tortfeasors with respect to the </w:t>
      </w:r>
      <w:r>
        <w:rPr>
          <w:rFonts w:ascii="arial" w:eastAsia="arial" w:hAnsi="arial" w:cs="arial"/>
          <w:color w:val="000000"/>
          <w:sz w:val="20"/>
          <w:u w:val="single"/>
          <w:lang w:val="en-US" w:eastAsia="en-US" w:bidi="ar-SA"/>
        </w:rPr>
        <w:t>wrongs proved in this action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consequence of this is that Drucker has proved that - and only that - Mr. Gui was a joint tortfeasor with Mr. Ringma and Mr. Xie in converting US $42,500 and CDN $116,236. The effect of the settlements with Mr. Xie and Mr. Ringma is to leave it open Drucker to recover from Mr. Gui his proportionate share of those amounts based on his fault according to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35 M.P.L.R. (4th) 233</w:t>
        </w:r>
      </w:hyperlink>
      <w:r>
        <w:rPr>
          <w:rFonts w:ascii="arial" w:eastAsia="arial" w:hAnsi="arial" w:cs="arial"/>
          <w:color w:val="000000"/>
          <w:sz w:val="20"/>
          <w:lang w:val="en-US" w:eastAsia="en-US" w:bidi="ar-SA"/>
        </w:rPr>
        <w:t xml:space="preserve">, Groves J. summarized factors which the Courts have used to assess the relative blameworthiness of the parties in apportioning fault under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Drucker says that of those factors, the following are germane to this case: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acts of fault committed by a person at fault;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It appears to me that a number of these are more relevant to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than to an action for an intentional tort. Further, I think that the amount of the ill-gotten benefit retained by the parties is a factor to take into consideration in the circumstances of this case. That is not tantamount to determining liability on the basis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first note that some responsibility must be attributed to Ringma on the basis that he participated in the scheme with Mr. Xie and Mr. Gui and he co-signed the cheques with Mr. Xie. I assess his fault at 10% for each category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Gui must bear the major share of fault for the expenses improperly taken by him for his own use. I conclude that Mr. Gui should be held 80% responsible and Mr. Xie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Xie was the main beneficiary of the expenses which were run through Mr. Gui's bank account and given to Mr. Xie. He therefore has to bear the major share of the fault for this aspect of the claim. At the same time, I do not think that the allocation of responsibility here should be a mirror image of what I ordered with respect to Mr. Gui's expenses. This is so because Mr. Gui took a more active role with respect to Mr. Xie's expenses than Mr. Xie did with Mr. Gui's expenses. I attribute Mr. Gui's fault for this component of the claim at 20% and Mr. Xie's at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No argument was made with respect to the liability of Guiny Consulting Ltd. If the parties cannot agree with respect to this, further argument may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summary, Mr. Gui's liability for the expenses and advances is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32.06pt;height:107.26pt">
            <v:imagedata r:id="rId2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If the parties cannot agree as to how the US funds are to be treated they may schedule a time to make submissions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Adverse Inference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was asked by Drucker to draw an adverse inference from the fact that Mr. Gui did not call Mr. Xie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With respect to the expenses of Mr. Gui and Mr. Xie, I was able to make the findings I did (which were in Drucker's favour) without having to consider whether I should draw an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do not think the drawing of an adverse inference would be appropriate with respect to the issue of Mr. Gui's consulting fees - an issue which I resolved in favour of Mr. Gui. The onus of proving that the amounts billed amounted to conversion remained with Drucker. The settlement agreement with Mr. Xie contained a requirement that he cooperate in providing evidence in the prior action, if the action were to continue against any non-settling parties. It would have been open to Drucker to request Mr. Xie's cooperation in this action, which, on Mr. Runolfson's evidence, Drucker knew it would be launching before it settled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Further, Drucker could have - although was not bound to - joined Mr. Gui in the prior action. That would have provided an opportunity for all the parties and former parties to canvass the all of the relevant evidence in discovery and if necessary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Finally, it is as likely that Mr. Xie would have provided evidence favourable to Drucker as it is that he would have provided favourable evidence to Mr. Gui.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This reasoning is equally applicable to the issue of allocation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Punitive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It is open to the Court to award punitive damages to express disapproval for a fraudulent scheme such as the one engaged in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An award of punitive damages is appropriate. The plaintiff requested an award of $25,000, but I think that is too high and does not recognise that Mr. Xie and Mr. Ringma bear a substantial amount of the responsibility for the scheme. I award $5,000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its written argument, Drucker requested special costs based on the pre-litigation conduct of Mr. Gui and his disclosure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Since the written arguments were exchanged, I have heard argument with respect to the disclosure of the settlement agreements with Mr. Xie and Mr. Ringma. That and these reasons might have a bearing on a decision as to whether an order for special costs is appropriate. Therefore, if the plaintiff wishes to pursue this point it should make arrangements to make further oral submissions. If the plaintiff does not wish to pursue this, then it will have its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J.</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 Gui's third party action against Mr. Xie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I mentioned at the outset of these reasons, Mr. Gui issued a third party notice against Mr. Xie seeking contribution and indemnity. Mr. Xie did not enter an appearance and Mr. Gui asks for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Since this judgment against Mr. Gui is for his degree of fault only, there is nothing in respect of which Mr. Gui can claim contribution or indemnity. The third party action is therefore dismissed without costs to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30" type="#_x0000_t75" style="width:432.06pt;height:348.05pt">
            <v:imagedata r:id="rId22"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31" type="#_x0000_t75" style="width:432.06pt;height:409.56pt">
            <v:imagedata r:id="rId23"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C - MR. GUI'S CONSULTING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Date</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1568"/>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07/08/2004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$5,500.00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08/08/2004</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$4,500.00</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673"/>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9/17/04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$1,605.00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2/23/04</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1568"/>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02/05/2004</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673"/>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3/25/05</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1568"/>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04/08/2004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$5,745.00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06/01/2004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05/12/2004</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673"/>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10/15/04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$1,605.00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10/24/04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$1,605.00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11/15/04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$1,605.00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11/25/04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$1,605.00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12/15/05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$3,210.00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1/17/05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$1,605.00</w:t>
            </w:r>
          </w:p>
        </w:tc>
        <w:tc>
          <w:tcPr>
            <w:tcW w:w="716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1/27/05</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$1,605.00</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1568"/>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06/02/2005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$1,605.00</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$44,295.00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after="240"/>
        <w:rPr>
          <w:rFonts w:ascii="arial" w:eastAsia="arial" w:hAnsi="arial" w:cs="arial"/>
          <w:sz w:val="20"/>
          <w:lang w:val="en-US" w:eastAsia="en-US" w:bidi="ar-SA"/>
        </w:rPr>
      </w:pPr>
      <w:r>
        <w:pict>
          <v:line id="_x0000_s1032" style="position:absolute;z-index:25186201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9"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9"/>
      <w:r>
        <w:rPr>
          <w:rFonts w:ascii="arial" w:eastAsia="arial" w:hAnsi="arial" w:cs="arial"/>
          <w:sz w:val="20"/>
          <w:lang w:val="en-US" w:eastAsia="en-US" w:bidi="ar-SA"/>
        </w:rPr>
        <w:tab/>
      </w:r>
      <w:r>
        <w:rPr>
          <w:rFonts w:ascii="arial" w:eastAsia="arial" w:hAnsi="arial" w:cs="arial"/>
          <w:color w:val="6D6E71"/>
          <w:sz w:val="18"/>
          <w:lang w:val="en-US" w:eastAsia="en-US" w:bidi="ar-SA"/>
        </w:rPr>
        <w:t>Plaintiff's written argument p. 6.</w:t>
      </w:r>
    </w:p>
    <w:p>
      <w:pPr>
        <w:spacing w:before="120" w:after="20" w:line="240" w:lineRule="atLeast"/>
        <w:ind w:left="720" w:hanging="360"/>
        <w:jc w:val="both"/>
        <w:rPr>
          <w:rFonts w:ascii="arial" w:eastAsia="arial" w:hAnsi="arial" w:cs="arial"/>
          <w:sz w:val="20"/>
          <w:lang w:val="en-US" w:eastAsia="en-US" w:bidi="ar-SA"/>
        </w:rPr>
      </w:pPr>
      <w:bookmarkStart w:id="10"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0"/>
      <w:r>
        <w:rPr>
          <w:rFonts w:ascii="arial" w:eastAsia="arial" w:hAnsi="arial" w:cs="arial"/>
          <w:sz w:val="20"/>
          <w:lang w:val="en-US" w:eastAsia="en-US" w:bidi="ar-SA"/>
        </w:rPr>
        <w:tab/>
      </w:r>
      <w:r>
        <w:rPr>
          <w:rFonts w:ascii="arial" w:eastAsia="arial" w:hAnsi="arial" w:cs="arial"/>
          <w:color w:val="6D6E71"/>
          <w:sz w:val="18"/>
          <w:lang w:val="en-US" w:eastAsia="en-US" w:bidi="ar-SA"/>
        </w:rPr>
        <w:t>Plaintiff's Further Submissions p. 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shd w:val="clear" w:color="auto" w:fill="FFFFFF"/>
            <w:lang w:val="en-US" w:eastAsia="en-US" w:bidi="ar-SA"/>
          </w:rPr>
          <w:t>Edwards v. BMO Nesbitt Burns Inc., [2010] B.C.J. No. 1568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8-10 and March 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S101683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1568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1108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2087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192 A.C.W.S. (3d) 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Craig Edwards and Carmen Edwards, Plaintiffs, and BMO Nesbitt Burns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 w:name="Keywords_0"/>
      <w:bookmarkEnd w:id="11"/>
      <w:r>
        <w:rPr>
          <w:rFonts w:ascii="arial" w:eastAsia="arial" w:hAnsi="arial" w:cs="arial"/>
          <w:b/>
          <w:color w:val="000000"/>
          <w:sz w:val="20"/>
          <w:lang w:val="en-US" w:eastAsia="en-US" w:bidi="ar-SA"/>
        </w:rPr>
        <w:t>Professional responsibility — Professions — Investment professionals — Investment dealers — Action by investors for damages for breaches of duty of care and fiduciary duty dismissed — Plaintiffs opened margin account with defendant and at various times were under margin in different amounts — Plaintiffs advised they were under margin, but failed to bring account back into margin and defendant sold bonds — Client agreement required plaintiffs to promptly pay indebtedness resulting from margin facility and entitled defendants to take or sell securities to reduce indebtedness — Prior to selling securities, defendants gave plaintiffs notice — Plaintiffs failed to mitigate damages as did not attempt to re-purchase bonds which were sold.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Fiduciary duty — Action by investors for damages for breaches of duty of care and fiduciary duty dismissed — Plaintiffs opened margin account with defendant and at various times were under margin in different amounts — Plaintiffs advised they were under margin, but failed to bring account back into margin and defendant sold bonds — Client agreement required plaintiffs to promptly pay indebtedness resulting from margin facility and entitled defendants to take or sell securities to reduce indebtedness — Prior to selling securities, defendants gave plaintiffs notice — Plaintiffs failed to mitigate damages as did not attempt to re-purchase bonds which were sold.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 w:name="Case Summary_0"/>
            <w:bookmarkEnd w:id="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investors for damages for breaches of duty of care and breach of fiduciary duty. The plaintiff Craig Edwards was a self-employed businessman who had previously been employed as an independent consultant for other investors, and was married to the plaintiff Carmen Edwards. The plaintiffs opened a margin account with the defendant and executed a client account agreement which provided that the would promptly pay any indebtedness when due except to the extent covered by a margin facility, and that the defendant could take the securities in payment or sell them if it deemed the margin insufficient for its protection or if there was unsecured indebtedness in the account. At various times from the inception of the account the defendant considered the plaintiffs under margin by different amounts. When required, the plaintiffs sold shares or deposited cash to cover the margin. Approximately seven months after opening the account, the plaintiffs were again under margin. They attempted to transfer some securities to another investment house, but were unsuccessful. After the plaintiffs were given the opportunity to cover the margin, but failed to do so, the defendant sold some of the plaintiffs' bonds. At the request of the plaintiff, the defendant recovered on of the bonds, but did so at a loss which the investment advisor absorbed. The plaintiffs commenced an action against their investment advisors for breaches of duty of care and breach of fiduciary duty for failing to inform them of the margin call in a timely fashion and selling a number of their bonds at less than fair market value without allowing them to transfer their account to another dealer or satisfy the margin call with a cash deposit. They claimed a loss of $756,900 based on the value of the bonds sold by the defendant, less the proceeds of sale of those bonds, plus accrued interest. The defendant denied any breach of duty of care and alleged that under the client account agreement it had the right to sell the bonds to reduce the plaintiffs' indebtedness to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 w:name="Holdings of Court_0"/>
            <w:bookmarkEnd w:id="1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client agreement required the plaintiffs to promptly pay any indebtedness due as a result of any margin facility and entitled the defendants to take the plaintiffs' securities in payment or sell the securities to eliminate or reduce any indebtedness. Prior to selling the plaintiffs' securities, the defendants gave the plaintiffs plenty of notice. Furthermore, the plaintiffs failed to mitigate their damages as although the alleged that the bonds which were sold were valuable to them, they did not attempt to re-purchase the bonds.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 w:name="Counsel_0"/>
      <w:bookmarkEnd w:id="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B.A.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D.A. Goult, D.F. Hooker.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 w:name="Judgment_0"/>
      <w:bookmarkEnd w:id="15"/>
      <w:r>
        <w:pict>
          <v:line id="_x0000_s1036" style="position:absolute;z-index:2517616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 w:name="J.D. TRUSCOTT J."/>
            <w:bookmarkEnd w:id="16"/>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sue the defendant for breaches of duty of care and breach of fiduciary duty as their investment advisors in failing to inform them in a timely fashion of a margin call made in April 2001, and then selling a number of their bonds at less than fair market value without allowing them to transfer their account to another dealer or satisfy the margin call with a cash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 a loss of $756,900 based upon the opinion of Mr. Teasley, a certified general accountant, that the current value of the plaintiffs' bonds sold by the defendant in April 2001, less the proceeds of sale of those bonds, plus accrued interest since that point in time, equals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denies any breach of duty of care to the plaintiffs and relies upon the terms and conditions of a Client Account Agreement executed by both plaintiffs on August 9, 2000 for the right to sell the bonds to reduce the plaintiffs' indebtedness to it when the plaintiffs did not transfer out the margin account to RBC Dominion Securities, or otherwise meet the one to one debt to equity ratio required by the defendant in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also alleges that the plaintiffs failed to mitigate any damages they may have sustained by failing to re-purchase the sold bonds in a timely fashion to recoup some or all of the losses they allege.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Craig Edwards is a self-employed businessman who between the years 1983-1997 was a registered representative in the securities industry, after which he became an independent consultant for other investors and an investor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 to the evidence of his investment advisor at the defendant's business in 2001, Douglas Taylor, Mr. Edwards had previously worked with him at another investment house for five years as an independent advisor, and later had contacted Mr. Taylor at another investment house where he worked to open a margin account. When Mr. Taylor moved on to the defendant in the year 2000 Mr. Edwards went with him and opened a margin account through Mr. Taylor at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Edwards describes himself as being very experienced with margin accounts and how they worked in the years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Carmen Edwards has a university education and is presently the manager of a drug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plaintiffs executed a Client Account Agreement with the defendant on August 9, 2000. The agreement describes the account as a margin account and in the agreement Mr. Edwards describes himself as a sophisticated investor who has had extensive experience with a wide variety of investments and strategies and who has the investment objectives of aggressive growth, with an emphasis on maximizing his total return potential. He indicates he would tolerate a high degree of risk and price volatility and current income and liquidity are not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specific section of the agreement signed separately by both plaintiffs is headed "Margin Account Agreement" which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 hereby apply to open a securities account and to be granted a margin facility with respect to the account. I certify that: (i) the information I have provided in this application is true and complete and I will inform you in writing of any changes; (ii) I am capable of evaluating and bearing the financial risks inherent in buying and selling securities; (iii) trading in all types of securities and transactions for which I seek approval is suitable for my investment objectives; and (iv) I have read and understood this Agreement, including the terms and conditions on the reverse side of this application form, which together with the completed application form, constitute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acknowledge: (i) that I have received a copy of this Agreement and the Nesbitt Burns Statement of Policies, which forms part of this application; (ii) the relationship between Nesbitt Burns and the groups of mutual funds named in the Nesbitt Burns Statement of Policies, as described therein.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acceptance of my application, I agree to the terms and conditions set out on the reverse side of this application form, which together with the completed application form, constitute this Agreement and I consent to Nesbitt Burns completing trades on my behalf in securities of the mutual funds, or any one of them, in the groups of mutual funds named in the Nesbitt Burns Statement of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terms and conditions in the agreement include the following provisions: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INDEBTEDNESS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Client will promptly pay indebtedness when due except to the extent covered by a margin facility.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MARGIN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Client applies for a margin facility, Nesbitt Burns may, in its sole discretion, grant the facility to the Client provided that Nesbitt Burns may, at any time and from time to time: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 or cancel any margin facility made available to the Client or refuse to grant any additional margin facility to the Client;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Client to provide margin in addition to the margin requirements of the applicable Regulatory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Client acknowledges that, for certain option strategies producing a credit, the Regulatory Authorities may require significant additional margin. The Client will provide Nesbitt Burns with any margin which is requested by Nesbitt Burns and will promptly pay any indebtedness due as a result of any reduction or cancellation of any margin facility.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PLEDGE OF SECURITIES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continuing collateral security for the payment of any indebtedness, which is now or may in the future be owing by the Client to Nesbitt Burns, the Client hereby hypothecates and pledges to Nesbitt Burns all of the Client's Securities and cash, including any free credit balances, which may now or hereafter be held by Nesbitt Burns (collectively, the "Collateral"), whether held in the Account or any other account in which the Client has an interest and whether or not such indebtedness relates to the Collateral hypothecated and pledged. ...</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ELIMINATION OR REDUCTION OF INDEBTEDNESS BY NESBITT BURNS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Nesbitt Burns deems the margin held by it to be insufficient for its protection;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any unsecured or potentially unsecured indebtedness in the Client's Account;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addition to any other right or remedy to which Nesbitt Burns is entitled, Nesbitt Burns may, at any time and from time to time without notice or demand to the Client: ...</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the Securities in payment or sell, contract to sell or otherwise dispose of any or all of the Securities held by Nesbitt Burns for the Client and apply the net proceeds therefrom to eliminate or reduce indebtedness;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failure to exercise any or all of such rights or the granting of any indulgence shall not in any way limit, restrict or prevent Nesbitt Burns from exercising such rights at any subsequent time and shall not limit, reduce or discharge any indebtedness or part thereof. ... If demand is made or notice is given to the Client by Nesbitt Burns, it shall not constitute a waiver of any of Nesbitt Burns' rights to act hereunder without demand or notice. Any and all expenses (including any legal expenses) reasonably incurred by Nesbitt Burns in connection with exercising any right pursuant to this section 8 may be charged to the Account. The Client acknowledges that the Client shall remain liable to Nesbitt Burns for any deficiency remaining following the exercise by Nesbitt Burns of any or all of the foregoing rights and that the rights which Nesbitt Burns is entitled to exercise pursuant to section 8 are reasonable and necessary for Nesbitt Burns' protection having regard to the nature of securities markets including, in particular, their volatility.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JOINT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Agreement is signed by more than one Client, the liabilities and obligations hereunder shall be joint and several (in Quebec, solidary) and each of the Clients agrees that each has full power and authority to direct Nesbitt Burns to take any action whatsoever with respect to the Account and Nesbitt Burns is hereby authorized and directed to act upon the instructions of any one of the Clients with respect to the Account. Any notice relating to the Account, including contracts of purchase and sale, may be sent to any one of the Clients and shall be binding upon each of the Clients. Any Client acting alone shall have the full power and authority to consent to amendments to, or modify or waive any of the terms or provisions relating to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Both plaintiffs agree in their evidence that they read and understood the entire Client Account Agreement before they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operation of the plaintiffs' margin account it was always Mr. Edwards who instructed Mr. Taylor as the advisor on the account and who Mr. Taylor spoke to about the account for the purpose of receiving instructions or for the purpose of imparting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Ms. Edwards says that her husband did not have her trading authority, she also says that it was her husband who did the trading in the account and spoke on almost a daily basis with the investment advisor, Mr. Taylor. Mr. Edwards confirms it was he who made the decisions on the account and discussed all trades with Mr.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13, 2000 the Vancouver branch manager of the defendant, Mr. Hamilton, delivered a "comfort letter" to the plaintiffs noting that there had been a number of large dollar value trades in their account since its inception and asking them to sign an attached statement indicating they both were aware of the periodic statements of the account and were fully aware of the level of activity and profits and losses incurred, and they had read the defendant's margin policy and were aware of the risks involved with investing on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plaintiffs signed this statement after also reading and understanding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Numerous internal emails produced by the defendant for the period August 2000 to and including April 2001 indicate that the defendant considered the plaintiffs under margin by different amounts from the very inception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an email of September 20, 2000 from head office Toronto to Mr. Taylor in Vancouver, maximum debt for the account was approved at $3.5 million with the requirement that "50% debt to equity must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evidence Mr. Hamilton says the word "equity" should have been "market value" meaning that the debt could not be any greater than the plaintiffs' equity in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That same day, September 20, 2000, Mr. Hamilton sent an email to Mr. Taylor pointing out that the account had a debt balance of approximately $4.2 million and it had to be brought into line with the margin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Shortly afterwards the emails indicated that shares were sold, cash raised and the margin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emails continued to indicate under margin positions in the account and head office Toronto started to put deadlines on when the account had to be brought on side. These emails were always directed to or copied to Mr. Taylor as the investment advisor on the account. One such deadline was set at October 13, 2000 and on that date Mr. Taylor indicated to head office by email that he had just spoken to the client and he was going to deposit a cheque and would sell some stock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account continued to be under margin according to the defendant's emails, and different deadlines were set to bring it on side right through to the end of 2000. In all cases the head office emails sought information from Mr. Taylor as to what actions were going to be taken to accommodate a reduction in debt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January 3, 2001 head office sent Mr. Taylor an email indicating that the account was $28,622 under margin and had to be brought on side by 3:00 p.m. Toronto time January 4, 2001. On that date at 2:26 p.m. Toronto time Mr. Taylor emailed back that he had just got off the phone with the client who had just sold some securities and would do some more selling should the market continue to 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February 7, 2001 Ms. Nielson, the credit risk manager of the defendant in Toronto, emailed Mr. Taylor and directed that while he was detailing a plan to increase equity and/or decrease the debt, the account was also required to maintain $100,000 in excess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March 2, 2001 Ms. Nielson sent Mr. Taylor an email requiring him to bring the account into one to one debt to equity ratio by March 30 and she advised that failing any action being taken by March 30, action might be taken by Risk Management without further notice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March 30 Mr. Taylor was reminded of that deadline with another email from head office. Mr. Taylor responded that day with his own email telling Ms. Nielson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in the process of having a bunch of securities transfer in from RBCDS. They should be here by Tuesday as well the account will have a bunch of cash credited to it on Monday or Tuesday. I will call you first thing Monday morning with a further update.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Monday, April 2, 2001 Mr. Taylor emailed Ms. Nielson that Mr. Edwards was getting a credit of $62,000 the next day. Ms. Nielson replied the same day that $62,000 would not even get close and she wanted to see a definite plan for the Edwards account by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next day, April 3, 2001, Mr. Taylor was told by head office email that he was to confirm detail of actions taken to cover this margin call by no later than 12:00 p.m. Toronto time that day and if confirmation was not forthcoming Risk Management would be obliged to sell out the account without further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April 3, 2001 came and went with no securities sold by the defendant to cover a margin problem. Matters moved forward to April 17 when Ms. Nielson told Mr. Taylor in an email that total equity in the account was approximately $550,000 as of the previous night's close and he was required to reduce the debt balance to $550,000 immediately, failing which the defendant would begin to sell out the account to comply with approved limits, at 3:00 p.m. April 18. He was also advised that there would be no further notification to him concerning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 follow-up email of April 17, 2001 Ms. Nielson informed Mr. Taylor that the client had to reduce the debt balance to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April 18, 2001 at 1:09 p.m. Mr. Taylor emailed Ms. Nielson that he had left a message the previous day and that morning for the client to call him as soon as possible but had not heard from him yet to tell him about the imminent sell out. He said he would keep her posted.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next day, April 19, Ms. Nielson emailed Mr. Taylor with a recap/confirmation of what he had told her that that day that the Edwards account had sold some equities that day and would have some fixed income positions transferred out against payment of their full market values to achieve a one to one debt to equity ratio. She asked for the name of the approving officer at the receiving broker but in the absence of approval the next day to transfer out she indicated that the defendant must continue to liquidate the Edwards account to reduce their loan to the approved limit of $500,000. She said that no further extensions would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April 20 at 12:49 p.m. Toronto time Ms. Nielson emailed Mr. Taylor and said she hadn't heard from him that day and if they didn't receive transfer instructions that day they would start selling at the opening on Monday, which was the 23rd of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1:02 p.m. Vancouver time that same day, April 20, Mr. Taylor emailed Ms. Nielson saying he was still waiting to hear from Mr. Edwards regarding the transfer information and so far had left three messages for him to get back to him that day, but nothing as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Monday, April 23 at 6:41 a.m. Vancouver time Mr. Taylor emailed Ms. Nielson to say that Mr. Edwards had left him a voice-mail over the weekend saying that he had arranged to transfer some bonds to Dominion Securities and that he would also sell some bonds in the margin account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Nielson emailed back at 6:58 a.m. Vancouver time that they would wait until 12:00 noon to start selling. At 2:19 p.m. Vancouver time Mr. Taylor emailed Ms. Nielson to recap that the Edwards account would be set up as a DAP tomorrow to facilitate the sale/delivery of a strip and receipt of $700,000 plus. The strip was to be sold the next morning and he would update her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DAP stands for Deposit Against Payment and involves the transfer of securities from one investment house to another in return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next day, April 24 at 9:03 a.m. Toronto time, Ms. Nielson emailed Mr. Taylor that the Edwards account was being sold at the opening as RBC Dominion Securities had not approved the DAP account status for the Edwards and neither had Nesbitt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morning on April 24, 2001 the sale of the bonds in the Edwards margin account commenced and one of the first bonds sold was a Nova Scotia power bond for an amount of $660,750.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Hamilton, the branch manager, says he was holding a meeting with Mr. Taylor and another investment advisor in the Vancouver office that morning when Mr. Edwards appeared and asked if he could join the meeting. Mr. Hamilton asked him if he was aware of the margin call and Mr. Edwards said he was. Mr. Edwards asked for time to try to facilitate a transfer of the account to RBC Dominion Securities. Mr. Hamilton said that he would try but the margin call was still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Edwards asked if the Nova Scotia power bond could be recovered and Mr. Hamilton said that he would try with no promise but told Mr. Edwards that if it could be done other securities would still have to be sold to make up the difference, or a cheque received to meet the objective in the account of a one to one debt to equity ratio. Mr. Hamilton told Mr. Edwards that he would try to hold Risk Management off until 12:45 p.m. to allow Mr. Edwards to get back with his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Hamilton called head office and received permission to try to cancel the Nova Scotia power bond sale. He was subsequently informed it was too late to do that. He made the decision from a perspective of the client relationship to re-purchase the Nova Scotia power bond from another dealer and he did so at a loss that he imposed upon Mr.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12:31 p.m. Vancouver time Mr. Hamilton emailed Ms. Nielson and confirmed he had given Mr. Edwards until 12:45 p.m. to resolve this, but if not resolved they would liquidate enough of the securities to bring the account on line with the sale to start with the shorter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Hamilton says he waited to hear from Mr. Edwards until 12:46 p.m. with no word. He says he had telephoned the Edwards home at 12:16 p.m. but there was no response. He asked head office to start the sale with the shorter bonds if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Hamilton denies giving Mr. Edwards any guarantee that all the bonds sold would be bought back or saying that the Nova Scotia power bond had been sold because of some inner confusion at Nesbitt Burns, or promising Mr. Edwards that never again would bonds be sold out of his account without his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Hamilton says that when Nesbitt Burns makes a margin call it tries to contact the client first. When referred to an undated document put out by Risk Management entitled "Credit Rules for BMO NB Client Accounts" he says he doesn't know if that document was in place in April 2001 but it is the terms of the Client Account Agreement that govern in 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Taylor joined BMO Nesbitt Burns in June 2000 and ceased being an investment advisor in September 2002. He is now a regional sales manager for an investment management company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confirms that he had no discretionary authority over the Edwards account and it was Mr. Edwards who always instructed him as to what he wanted to do in that account. He says he spoke to Mr. Edwards generally once a day three or four times a week and usually in the morning when the market was open. He says he was never told he had to contact Ms. Edwards for any requirements for the account or to advise of any changes to the margin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says that when the Edwards account was transferred into Nesbitt Burns in the year 2000 he had a discussion with Mr. Edwards of the margin requirements. He cannot now recall specifically what was said but says it would have come up in conversation with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received the margin report every morning and if the client was off side his responsibility was to contact the client to clean up the account by the end of the business day. He says that there were numerous occasions when the Edwards account was under margin and he telephoned Mr. Edwards to send in money or liquidate some securities to bring the account on side. When he could not contact Mr. Edwards immediately he left messages saying "we're under margin this morning, give me a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Taylor says the market peaked in September 2000 and started to continually move downwards thereafter. Nesbitt Burns started to look more closely at the one to one margin requirement and bringing the Edwards account on side. While Mr. Taylor has no recall as to specific discussion with Mr. Edwards about this he says he would have conveyed this information to him. He says his practice was to advise Mr. Edwards of head office requirements by telephone right away, although he had no practice of preparing memos of any conversation. He says any information he put in his emails was true when he wrote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When he received an email on November 28, 2000 from head office informing him that this account was approved by the risk management committee for a maximum debt of $3.5 million provided the ratio of debt to market value did not exceed 50%, he says he would have contacted Mr. Edwards with this information and told him that he had to get on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follow-up emails came from head office thereafter to the same effect he says he also would have contacted Mr. Edwards right away to advise him to get on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confirms he was instructed by Ms. Nielson of head office at one point that the Edwards account was to maintain a $100,000 excess margin cushion and he told Mr. Edwards of that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head office said on March 2, 2001 that the account had to be brought to a one to one debt to equity ratio by March 30, 2001, he says he gave this information to Mr. Edwards over the next few days and Mr. Edwards was not too pleased. He didn't think Nesbitt Burns was giving him enough value for his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When he received the email from head office of March 30, 2001 reminding him that day was the deadline to bring the accounts to a one to one debt to equity ratio, he says he would have talked to Mr. Edwards before he replied by email to head office stating that a bunch of securities were being transferred in from RBC Dominion Securities and in addition the account would have a bunch of cash credited to it by the following Monday or Tuesday. He says he would have received this information from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says that by the deadline Mr. Edwards had sold a block of stock to bring the account on side and had told him that RBC Dominion Securities would give him a better margin on the securities and he was going to transfer the account out to RBC Dominion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that deadline Mr. Taylor says that there were daily discussions with Mr. Edwards to bring the margin account on side as the market was continuing to fall, especially the technology stocks that were also covered by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denies that he never told Mr. Edwards of the margin requirement of one to one until the morning of April 24, 2001 and he denies ever telling Mr. Edwards that other accounts of investors were problem accounts but not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confirms that he received the April 17, 2001 email from head office informing him that the equity in the account was approximately $550,000 and instructing him to reduce the debit balance to $550,000 immediately failing which head office would begin to sell the account to comply with the approved limits by 3:00 p.m. April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confirms sending the email to head office at 1:09 p.m. on April 18 saying that he had left a message for Mr. Edwards the previous day and that morning but had not heard from him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confirms that the information Ms. Nielson put in her April 19 email of a confirmation from him that day that the account of Mr. Edwards had sold some securities and would have some fixed income positions transferred out against payment at full market value, was information that he received from Mr. Edwards. It is his general recollection of this time period that Mr. Edwards was going to transfer the account out to RBC Dominion Securities so that it would no longer be a problem for Nesbitt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confirms his email of April 23, 2001 at 9:41 a.m. telling Ms. Nielson that Mr. Edwards had left a voice-mail message over the telephone saying he had arranged to transfer some bonds to Dominion Securities and he would also sell some bonds at Nesbitt Burns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also confirms emailing Ms. Nielson at 2:19 p.m. Vancouver time that day informing her that the Edwards account would be set up as DAP tomorrow to facilitate the sale/delivery of a strip and the receipt of $700,000 plus. Again he says he would have received this information from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recalls receiving the email of April 24, 2001 from Ms. Nielson advising him that RBC Dominion Securities had not approved DAP status for Mr. Edwards and neither had Nesbitt Burns, but he says he cannot now recall what was in his mind on its receipt as he considered the matter out of his hands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does recall Mr. Edwards coming into the office at some point although he doesn't know if it was that day. Nesbitt Burns had already sold some of Mr. Edwards' bonds and Mr. Edwards was upset that his Nova Scotia bond was sold and not others. He wanted the trade reversed. Mr. Edwards was told by Mr. Hamilton that the purpose was to bring the account on side and it didn't matter what bonds were sold. However from a client service viewpoint Nesbitt Burns was prepared to re-buy the Nova Scotia bond and Mr. Taylor says that this cost him more than $4,000 as a client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agrees that he was probably told by Mr. Edwards at one time that he wanted his stocks sold first on any margin call, but his recollection is that there were not enough stocks in the account at the time to satisfy this margin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says this was pretty much the last contact he had with Mr. Edwards on this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April 24, 2001 he says that the Edwards account had a margin cushion or excess margin of $142,487 and a debit balance of $1,412,362.98 with a net equity of only $436,576.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an email of April 26, 2001 that Ms. Nielson sent to her manager saying that the investment advisor did not speak to the client until action was imminent, Mr. Taylor says this is not a true statement as he was speaking to the client about the margin requirements on a constant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Nielson did not start with BMO Nesbitt Burns in the credit department until December 2000 and she says that by that time the markets were already doing poorly. The one to one debt to equity ratio on margin accounts was a policy already in place at Nesbitt Burns and while it was treated as a guideline only when the market was more stable, in a falling market Nesbitt Burns was always looking for more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case of the Edwards account the market conditions were deteriorating and she gave the Edwards through Mr. Taylor a deadline of March 30, 2001 to bring the account into line with that margin requirement. When this did not happen Nesbitt Burns had to sell part of the account to bring it into line with the one to one debt to equity ratio.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she told Mr. Taylor in her April 24, 2001 email that RBC Dominion Securities had not approved the DAP account status for Mr. Edwards she says she doesn't recall now, but she must have contacted RBC Dominion Securities to learn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Mr. Hamilton called her on April 24, 2001 to cancel the order for sale of the Nova Scotia power bond because Mr. Edwards wanted to retain it, she authorized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respect to her email of April 26, 2001 to her manager saying that the investment advisor did not speak to the client until action was imminent, she says she only assumed this as nothing appeared to happen until Nesbitt Burns pulled the trigger.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the undated Risk Management document entitled "Credit Rules for BMO NB Client Accounts" that states that margin accounts must be fully margined at all times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under margin account must be immediately returned to a fully margined position. The allowed period of time extended to correct a deficient margin position is five business days from the date of the margin shortfall. Risk management, Toronto may shorten this period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explains that she has seen a document like this before but five days was shortened in general to 48 hours when she started with Nesbitt Burns and then changed further to 24 hours by Risk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Edwards in his evidence denies that he was ever told of the one to one debt to equity ratio for the margin account by either Mr. Taylor or anyone else at Nesbitt Burns, until the morning of April 24, 2001 when he spoke with Mr. Hamilton in the Vancouver offices of Nesbitt Burns and was told of the margin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also says he was never made aware of the limit placed on debt in the account of $500,000 and he says the only debt limit he was ever told of was of $3.5 million and he was never told he was under margin with respect to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says the only other requirement for margin that he was told about was the $100,000 margin cushion that Mr. Taylor required him to provide and maintain.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he sold equities at the end of March 2001 he says it was only to maintain the $100,000 cushion on the account and not because he was told at that time that he had to achieve a one to one debt to equity ratio by the end of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Similarly when he sold more equities on April 19, 2001 he says again he was told by Mr. Taylor that he had to maintain the $100,000 cushion and he was short by $17,000, but otherwise he had nothing to worry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Edwards statement of claim alleges that on or about April 19, 2001 Nesbitt Burns demanded the plaintiffs reduce their margin account debit balance. Mr. Edwards says the statement of claim was slightly confusing because "on or about" can refer to April 24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statement of claim also alleges that at the time when Mr. Edwards received the demand the plaintiffs advised Mr. Hamilton and Mr. Taylor that it was his (Mr. Edwards') intention to move the plaintiffs' bond portfolio to another investment dealer so liquidation of all or a portion of the plaintiffs' portfolio would not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says this allegation in the statement of claim that when he received the demand he advised Mr. Taylor it was his intention to move the bond portfolio to another investment dealer is also slightly ambiguous because he had already signed transfers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Edwards says he told Mr. Taylor on or about April 19 that the plaintiffs had already signed transfers to move their portfolio and asked Mr. Taylor to be kept advised of anything that might affect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says the date of April 24, 2001 put on the authorization to transfer form to RBC Dominion Securities signed by both he and his wife was not the date when the document was actually signed as that date was put on the document at least one week prior in anticipation of the transfer actually taking place on April 24. He doesn't think that RBC Dominion Securities officially received the document until the 24th although the process was started before that date. He specifically denies executing the document on April 24 after his meeting with Mr.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says that in the early morning hours of April 24, 2001 Mr. Hamilton telephoned him to say that his proposed transfer of the account to RBC Dominion Securities had been rejected and some equities of his had to be sold. He drove to the Nesbitt Burns offices very upset and agitated where he was told of the one to one debt to equity ratio requirement and the $500,000 debt limit. He already knew the Nova Scotia power bond had been sold and he told Mr. Hamilton he wanted the bond back. He says he told Mr. Hamilton he could provide a cheque for $200,000 but Mr. Hamilton told him that it had to be a certified cheque or it was too late otherwise. He told Mr. Hamilton to sell the short term bonds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Edwards says she and Mr. Edwards never learned about any margin call on the sale of their bonds until they received the April statement from the defendant in May 2001 and saw that a lot of their bonds had been liquidated.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says that she and her husband had signed the transfer document early in April 2001 to transfer their account to Mr. Brown at RBC Dominion Securities and had post-dated it to April 24 to allow the defendant time to transfer into their margin account interest monies that was owed to them, prior to the transfer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 few days after April 24 she says her husband told her that the transfer had been blocked by BMO Nesbitt Burns and she still doesn't know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says she knew it was a margin account and she had willingly signed the Client Account Agreement with full knowledge of its provisions, but she was never given any notice that the account was under margin and her husband never told her that there was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April 2001 Mr. Brown was employed by RBC Dominion Securities as an associate portfolio manager and the Edwards were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says that shortly prior to April 24, 2001 he was in contact with Mr. Hamilton of Nesbitt Burns about the process of transferring the Edwards account over to RBC Dominion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Reading from typed notes he says he made at the time of the events, because he has no memory remaining, the notes say that on April 23 he called the Edwards home. However no content of that phone call is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His note of April 25, 2001 is headed "Failed Transfer" and states that late the previous afternoon, after speaking with his manager Mr. Dilts and with Mr. Hamilton of Nesbitt Burns, Mr. Dilts agreed to look at the printout of the account that had been forwarded from Nesbitt Burns. The note goes on to say that after the account printout was forwarded Mr. Dilts said he wanted to look at the next day's printout because securities had been sold. Mr. Brown told Mr. Dilts that he wanted the account while Mr. Dilts told him that any debit over $100,000 required credit approval to transfer in. He told Mr. Dilts he did not know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His note of April 27, 2001 is headed "email to Steve Dilts re transfer in", and says in part that "I understand you may require changes to that account to be done either at Nesbitt before the transfer or after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Plaintiffs' counsel relies upon a decision of the Ontario Court (General Division) in </w:t>
      </w:r>
      <w:r>
        <w:rPr>
          <w:rFonts w:ascii="arial" w:eastAsia="arial" w:hAnsi="arial" w:cs="arial"/>
          <w:i/>
          <w:color w:val="000000"/>
          <w:sz w:val="20"/>
          <w:lang w:val="en-US" w:eastAsia="en-US" w:bidi="ar-SA"/>
        </w:rPr>
        <w:t>Varcoe v. Sterling</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for the legal proposition that both regulatory authority and custom in the industry governing margin accounts and margin calls require the investment dealer to give the client reasonable notice of a margin call and to maintain a record of all margin calls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submits that both plaintiffs received no notice of any margin call until their bonds were being sold and Mr. Taylor maintained no record of having made any margin call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submits that the $10,000 cheque issued to Mr. Edwards from the margin account around April 18, 2001 plus the fact that the excess margin requirement of $100,000 was still being maintained at April 24, 2001 demonstrates that in fact the account was fully margined at those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Regardless of any notice given to Mr. Edwards, he submitted none was ever given to Ms. Edwards who was also an owner of the margin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points to the defendant's own document "Credit Rules for BMO NB Client Accounts" where it is stated that "the allowed period of time extended to correct a deficient margin position is five business days from the date of the margin shortfall", and he submits this requirement was not met. He points out that this requirement is at odds with the wording of the Client Account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Finally he submits that even if a margin call was made and reasonable notice of it was given to the plaintiffs, the evidence is that the plaintiffs had an agreement already with RBC Dominion Securities for the margin account to be transferred to it, and the defendant did not allow that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the issue of damages he submits that the standing instruction from Mr. Edwards to Mr. Taylor as confirmed by Mr. Taylor was to sell the stock in the account first before the bonds, and to sell the short-term bonds before the long-term bonds. Instead the Nova Scotia power bond was the first sold bond contrary to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Defence counsel submits that the terms of the Client Account Agreement allowed the defendant to take the steps it did. It was entitled by its terms to lower the margin limits at any time and to sell out the account at any time using its discretion and without any notice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Counsel relies upon the case of </w:t>
      </w:r>
      <w:r>
        <w:rPr>
          <w:rFonts w:ascii="arial" w:eastAsia="arial" w:hAnsi="arial" w:cs="arial"/>
          <w:i/>
          <w:color w:val="000000"/>
          <w:sz w:val="20"/>
          <w:lang w:val="en-US" w:eastAsia="en-US" w:bidi="ar-SA"/>
        </w:rPr>
        <w:t>Paciorka v. TD Waterhouse</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[2007] O.J. No. 2890</w:t>
        </w:r>
      </w:hyperlink>
      <w:r>
        <w:rPr>
          <w:rFonts w:ascii="arial" w:eastAsia="arial" w:hAnsi="arial" w:cs="arial"/>
          <w:color w:val="000000"/>
          <w:sz w:val="20"/>
          <w:lang w:val="en-US" w:eastAsia="en-US" w:bidi="ar-SA"/>
        </w:rPr>
        <w:t>, a decision of the Ontario Superior Court of Justice, and other decisions cited in that decision for his submission that the Client Account Agreement governs the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Alternatively, he submits that even if notice of a change in the margin requirements and notice of a margin call were required, the evidence indicates that Mr. Edwards was given months to bring the account into line before the account was sold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also submitted that no transfer of the account to RBC Dominion Securities was ever approved by RBC Dominion Securities itself or for that matter by BMO Nesbitt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Finally it is submitted that the plaintiffs took no steps to re-purchase the bonds that were sold in order to mitigate any losses they say they may have suffered as they appear to rely upon some idea that the defendant should have loaned them all of the money again so that they could use the defendant's money to purchase the bonds rather than providing their own money to make the re-purchases. It is submitted they have failed to mitigate any losses that they have suffered by making the re-purchases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Insofar as it may be suggested by the evidence that Mr. Hamilton promised Mr. Edwards that he would re-purchase for the plaintiffs all of the bonds sold, it is submitted that Mr. Hamilton testified he never said this and his evidence should be accepted, and he has no other duty in law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Paciorka v. TD Waterhouse</w:t>
      </w:r>
      <w:r>
        <w:rPr>
          <w:rFonts w:ascii="arial" w:eastAsia="arial" w:hAnsi="arial" w:cs="arial"/>
          <w:color w:val="000000"/>
          <w:sz w:val="20"/>
          <w:lang w:val="en-US" w:eastAsia="en-US" w:bidi="ar-SA"/>
        </w:rPr>
        <w:t>, Mr. Paciorka made the submission to the court that it is trite law that where monies are owed, payable on demand, a debtor must be given a reasonable time in which to meet the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was pointed out by the court there, however, this law does not apply to the case of margin accounts that are to be governed by the terms of the security agreement that exists between the dealer and the client. Policy considerations that require reasonable notice do not extend to circumstances of market accounts that require quick action by the dealer to preserve their own monies at 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court distinguished </w:t>
      </w:r>
      <w:r>
        <w:rPr>
          <w:rFonts w:ascii="arial" w:eastAsia="arial" w:hAnsi="arial" w:cs="arial"/>
          <w:i/>
          <w:color w:val="000000"/>
          <w:sz w:val="20"/>
          <w:lang w:val="en-US" w:eastAsia="en-US" w:bidi="ar-SA"/>
        </w:rPr>
        <w:t>Varcoe v. Sterling</w:t>
      </w:r>
      <w:r>
        <w:rPr>
          <w:rFonts w:ascii="arial" w:eastAsia="arial" w:hAnsi="arial" w:cs="arial"/>
          <w:color w:val="000000"/>
          <w:sz w:val="20"/>
          <w:lang w:val="en-US" w:eastAsia="en-US" w:bidi="ar-SA"/>
        </w:rPr>
        <w:t xml:space="preserve"> on the basis that in that case there was no agreement expressly entitling the dealer to sell out the account in its discretion without any margin call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court also cited in support of its decision </w:t>
      </w:r>
      <w:r>
        <w:rPr>
          <w:rFonts w:ascii="arial" w:eastAsia="arial" w:hAnsi="arial" w:cs="arial"/>
          <w:i/>
          <w:color w:val="000000"/>
          <w:sz w:val="20"/>
          <w:lang w:val="en-US" w:eastAsia="en-US" w:bidi="ar-SA"/>
        </w:rPr>
        <w:t>Janic v. TD Waterhouse</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[2001] O.J. No. 1476</w:t>
        </w:r>
      </w:hyperlink>
      <w:r>
        <w:rPr>
          <w:rFonts w:ascii="arial" w:eastAsia="arial" w:hAnsi="arial" w:cs="arial"/>
          <w:color w:val="000000"/>
          <w:sz w:val="20"/>
          <w:lang w:val="en-US" w:eastAsia="en-US" w:bidi="ar-SA"/>
        </w:rPr>
        <w:t xml:space="preserve">, another Superior Court of Justice decision, as well as </w:t>
      </w:r>
      <w:r>
        <w:rPr>
          <w:rFonts w:ascii="arial" w:eastAsia="arial" w:hAnsi="arial" w:cs="arial"/>
          <w:i/>
          <w:color w:val="000000"/>
          <w:sz w:val="20"/>
          <w:lang w:val="en-US" w:eastAsia="en-US" w:bidi="ar-SA"/>
        </w:rPr>
        <w:t>RBC Dominion Securities Inc. v. DeBora</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[1991] O.J. No. 1863</w:t>
        </w:r>
      </w:hyperlink>
      <w:r>
        <w:rPr>
          <w:rFonts w:ascii="arial" w:eastAsia="arial" w:hAnsi="arial" w:cs="arial"/>
          <w:color w:val="000000"/>
          <w:sz w:val="20"/>
          <w:lang w:val="en-US" w:eastAsia="en-US" w:bidi="ar-SA"/>
        </w:rPr>
        <w:t xml:space="preserve"> (Gen. Div.), which in turn cited the Supreme Court of Canada decision of </w:t>
      </w:r>
      <w:r>
        <w:rPr>
          <w:rFonts w:ascii="arial" w:eastAsia="arial" w:hAnsi="arial" w:cs="arial"/>
          <w:i/>
          <w:color w:val="000000"/>
          <w:sz w:val="20"/>
          <w:lang w:val="en-US" w:eastAsia="en-US" w:bidi="ar-SA"/>
        </w:rPr>
        <w:t>George v. Dominick Corporation of Canada</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(1972), 28 D.L.R. (3d) 508</w:t>
        </w:r>
      </w:hyperlink>
      <w:r>
        <w:rPr>
          <w:rFonts w:ascii="arial" w:eastAsia="arial" w:hAnsi="arial" w:cs="arial"/>
          <w:color w:val="000000"/>
          <w:sz w:val="20"/>
          <w:lang w:val="en-US" w:eastAsia="en-US" w:bidi="ar-SA"/>
        </w:rPr>
        <w:t xml:space="preserve">, upholding a decision of the British Columbia Court of Appeal to the same effect, </w:t>
      </w:r>
      <w:hyperlink r:id="rId36" w:history="1">
        <w:r>
          <w:rPr>
            <w:rFonts w:ascii="arial" w:eastAsia="arial" w:hAnsi="arial" w:cs="arial"/>
            <w:i/>
            <w:color w:val="0077CC"/>
            <w:sz w:val="20"/>
            <w:u w:val="single"/>
            <w:shd w:val="clear" w:color="auto" w:fill="FFFFFF"/>
            <w:lang w:val="en-US" w:eastAsia="en-US" w:bidi="ar-SA"/>
          </w:rPr>
          <w:t>[1970] B.C.J. No.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Here the Client Account Agreement entitles the defendant "at any time and from time to time" to "reduce or cancel any margin facility made available to the client", to "in addition to any other right or remedy to which Nesbitt Burns is entitled, Nesbitt Burns may, at any time from time to time without notice or demand to the client ... take the securities in payment or sell, contract to sell or otherwise dispose of any or all the securities held by Nesbitt Burns for the client and apply the net proceeds therefrom to eliminate or reduce indebtedness."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Agreement requires the client to "provide Nesbitt Burns with any margin which is requested by Nesbitt Burns and will promptly pay any indebtedness due as a result of any reduction or cancellation of any margin facility" and "if demand is made or notice is given to the client by Nesbitt Burns, it shall not constitute a waiver of any of Nesbitt Burns' right to act hereunder without demand or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Agreement also allows Nesbitt Burns to grant any indulgences without affecting any rights it may have by the agreement and no terms or conditions of the agreement are to be waived or changed without approval in writing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 am completely satisfied that the reasoning in </w:t>
      </w:r>
      <w:r>
        <w:rPr>
          <w:rFonts w:ascii="arial" w:eastAsia="arial" w:hAnsi="arial" w:cs="arial"/>
          <w:i/>
          <w:color w:val="000000"/>
          <w:sz w:val="20"/>
          <w:lang w:val="en-US" w:eastAsia="en-US" w:bidi="ar-SA"/>
        </w:rPr>
        <w:t>Paciorka v. TD Waterhouse</w:t>
      </w:r>
      <w:r>
        <w:rPr>
          <w:rFonts w:ascii="arial" w:eastAsia="arial" w:hAnsi="arial" w:cs="arial"/>
          <w:color w:val="000000"/>
          <w:sz w:val="20"/>
          <w:lang w:val="en-US" w:eastAsia="en-US" w:bidi="ar-SA"/>
        </w:rPr>
        <w:t xml:space="preserve"> applies to the circumstances in this case. In fact, to the extent that the decision of </w:t>
      </w:r>
      <w:r>
        <w:rPr>
          <w:rFonts w:ascii="arial" w:eastAsia="arial" w:hAnsi="arial" w:cs="arial"/>
          <w:i/>
          <w:color w:val="000000"/>
          <w:sz w:val="20"/>
          <w:lang w:val="en-US" w:eastAsia="en-US" w:bidi="ar-SA"/>
        </w:rPr>
        <w:t>George v. Dominick Corporation of Canada</w:t>
      </w:r>
      <w:r>
        <w:rPr>
          <w:rFonts w:ascii="arial" w:eastAsia="arial" w:hAnsi="arial" w:cs="arial"/>
          <w:color w:val="000000"/>
          <w:sz w:val="20"/>
          <w:lang w:val="en-US" w:eastAsia="en-US" w:bidi="ar-SA"/>
        </w:rPr>
        <w:t xml:space="preserve"> requires the same conclusion, it is binding on this Court. The Client Account Agreement executed by both plaintiffs entitled the defendant to take the actions it did when it did to protect its own monies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am also satisfied that the evidence is sufficient to prove that Mr. Edwards was aware of the condition of his margin account almost daily and was aware when he was under margin and what was required of the plaintiffs on the margin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accept the standard practice explained by Mr. Taylor that he would have contacted Mr. Edwards when he was told by head office of any under margin position in the account or of any change in margin requirements. Both he and Mr. Edwards agree that they were talking almost daily and I accept Mr. Taylor's evidence that what he told head office in his emails of his discussions with Mr. Edwards reflected those discussions with Mr. Edwards accurately.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While it may not have been necessary for the account to be under margin before the defendant exercised its rights under the Client Account Agreement to recoup some or all of its loan amounts, I am satisfied it only did so in the circumstances after giving plenty of notice to Mr. Edwards through the months with the market rapidly deteriorating.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that the $10,000 removed by Mr. Edwards from the account on or about April 18, 2001 was simply a mistake on the part of the defendant as confirmed by Ms. Nielson's email to Mr. Taylor of April 19, 2001. This does not affect my conclusion that the account was under-margined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Similarly the fact the excess margin requirement of $100,000 continued to be met by the plaintiffs through to April 25, 2001 does not affect my conclusion either. At April 24, 2001 the debit balance was $1,412,362.98 and the net equity was only $436,576.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confess that I do not fully understand the interaction between the excess margin amount and the state of the account in general but I am satisfied that the account was seriously under-margined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No notice was necessary to be given to Ms. Edwards personally. The Client Account Agreement that she also signed after reading and understanding it stipulates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of the clients agree that each has full power and authority to direct Nesbitt Burns to take any action whatsoever with respect to the account and Nesbitt Burns is hereby authorized and directed to act upon the instruction of any one of the clients with respect to the account. Any notice relating to the account, including contracts of purchase and sale, may be sent to any one of the clients and shall be binding upon each of the clients. Any client acting alone shall have to full power and authority to consent to amendments to or modify or waive any of the terms or provisions relating to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If Ms. Edwards did not receive any notice of the margin call that resulted in the sale of her bonds, she has only the co-plaintiff her husband to blame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Further, on this issue of notice to Mr. Edwards I also accept the defence submission that Mr. Edwards' sale of approximately $200,000 US worth of securities from the account between March 28, 2001 - April 4, 2001 demonstrates that he was told by Mr. Taylor of Ms. Nielson's deadline of March 30, 2001 to meet the new margin limits, and further supports Mr. Taylor's evidence that Mr. Edwards' response when told of the new margin limit was that head office did not know what it was talking about as the bonds were worth far more than the value attributed to them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fact Mr. Taylor was instructed by Mr. Edwards to sell securities on April 19, 2001, as Ms. Nielson confirmed in her email to Mr. Taylor of that day, is confirmed by the sale of further securities that day, which also confirms that Mr. Edwards was well aware of the under margin position in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internal document "Credit Rules for BMO NB Client Accounts" cannot assist the plaintiffs either. It states that under margin accounts must be immediately returned to a fully-margined position. The allowed period of time is extended to five days but Risk Management is entitled to shorten the period if required. Even if that document is relevant to the claims it did not fetter the discretion of the defendant under the Client Account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submission that the defendant did not allow transfer of the account to be made to RBC Dominion Securities as arranged with RBC Dominion Securities also must be rejected. The emails from Mr. Brown do not confirm any such agreement by RBC Dominion Securities as to the transfer. Mr. Brown's note of April 25, 2001 indicates that his manager Mr. Dilts was still looking at the account information forwarded from Nesbitt Burns and noted any debit over $100,000 required credit approval to transfer in. Mr. Brown's note of April 27, 2001 of his email to Mr. Dilts indicates Mr. Dilts wanted changes to the account to be done either at Nesbitt Burns before the transfer or after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Nesbitt Burns was not going to allow the transfer without its debt being satisfied either by the plaintiffs or assumed by RBC Dominion Securities. That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plaintiffs say they signed the transfer document earlier in April 2001 but post-dated it to April 24, 2001 which fortuitously became the date when their margin account was sold out. The defendant submits that it is too fortuitous to be true and more likely the transfer document was signed by the plaintiffs only after the sell-out had started on April 24,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I agree it is more likely that the document was signed on the date put on it, it still does not prove any agreement with RBC Dominion Securities for the transfer to take place in the shape that the account was in with Nesbitt Burns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Finally, I am satisfied that Mr. Hamilton gave Mr. Edwards until 12:45 p.m. on April 24, 2001 to make up the difference if Mr. Hamilton could recover the Nova Scotia power bonds and to deliver a cheque to meet the requirements of a one to one debt to equity ratio. Mr. Edwards never responded and Mr. Hamilton then asked head office to sell the shorter bonds first. He also succeeded in recovering the Nova Scotia power bond for which he absorbed the additional cost internally as part of client relations. I accept that Mr. Hamilton never promised Mr. Edwards that the defendant would re-purchase his bonds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accept the defence submission that the plaintiffs have provided no evidence why Mr. Edwards did not deliver a cheque to meet the margin requirement or otherwise meet the requirement. I also accept that if the plaintiffs say the bonds that were sold were so valuable to them, they have not indicated why they did not go into the market themselves to re-purchase the bonds. I conclude they have failed to mitigate any damages they may have sustained even if they have any cause of action against the defendant, which I have concluded they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action is dismissed. The defendant has requested the opportunity to speak to the issue of costs and that opportunity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 w:history="1">
        <w:r>
          <w:rPr>
            <w:rFonts w:ascii="arial" w:eastAsia="arial" w:hAnsi="arial" w:cs="arial"/>
            <w:b/>
            <w:bCs/>
            <w:i/>
            <w:color w:val="0077CC"/>
            <w:kern w:val="32"/>
            <w:sz w:val="28"/>
            <w:szCs w:val="32"/>
            <w:u w:val="single"/>
            <w:shd w:val="clear" w:color="auto" w:fill="FFFFFF"/>
            <w:lang w:val="en-US" w:eastAsia="en-US" w:bidi="ar-SA"/>
          </w:rPr>
          <w:t>Erickson v. Webber, [2005] B.C.J. No. 1700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18, 19, 20, 21, 22, 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26, 27, 28, 29 and November 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S31943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1700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1048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962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Robin Erickson, plaintiff, and Jenny Webber,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 w:name="Keywords_1"/>
      <w:bookmarkEnd w:id="17"/>
      <w:r>
        <w:rPr>
          <w:rFonts w:ascii="arial" w:eastAsia="arial" w:hAnsi="arial" w:cs="arial"/>
          <w:b/>
          <w:color w:val="000000"/>
          <w:sz w:val="20"/>
          <w:lang w:val="en-US" w:eastAsia="en-US" w:bidi="ar-SA"/>
        </w:rPr>
        <w:t xml:space="preserve">Damages — General damages — For personal injuries — Considerations — Employment status — Loss of earning capacity — Non-pecuniary damages, including pain and suffering — Physical injuries — Head injuries — Concussion — Skull fractures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 w:name="Case Summary_1"/>
            <w:bookmarkEnd w:id="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Erickson for damages for personal injuries suffered in a motor vehicle accident. The defendant Webber admitted liability. Erickson was a passenger in a vehicle driven by Webber. Webber argued that Erickson contributed to his injuries by not wearing a seatbelt. The evidence on the seatbelt issue was conflicting. Erickson was 21 years old at the time of the accident. He suffered a concussion, lacerations, fractures, and soft tissue injuries to his neck, shoulder, and back, and a mild traumatic brain injury to the left temporal and frontal lobes. Webber denied that Erickson suffered a brain injury. The physical injuries resolved within 18 months of the accident. Erickson's principal complaints were that he had difficulty concentrating and his memory was affected, resulting in difficulty for him to find and keep employment. Erickson had a higher than average degree of intelligence but had significant emotional problems prior to the accident. He did poorly in school due to his lack of application. At the time of the accident he was employed in telemarketing. Prior to the accident he earned about $1,000 per month. Since the accident, Erickson worked in a store and at a gas station. He failed to keep those positions and was now on welfare.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 w:name="Holdings of Court_1"/>
            <w:bookmarkEnd w:id="1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Erickson was awarded non-pecuniary damages of $110,000 and $18,000 for loss of wages. Based on the head injuries, the symptoms, and the medical reports, the court found that Erickson either suffered a mild traumatic brain injury or that he was one of that small subset of patients who continued to suffer the effects of post-concussion syndrome for an indefinite time. He was left with only a minor, unresolved problem with his short-term memory. Erickson had a pronounced tendency to maximize his cognitive difficulty. Due to his poor attitude towards learning prior to the accident, Erickson would have continued working part-time for the telemarketing company had he not been injured. Erickson's earning capacity had not been impaired by the accident and no damages were awarded for loss of earning capacity. Webber failed to prove that Erickson was not wearing a seatbelt. The court accepted the evidence of a forensic engineer that indicated that, based on the injuries suffered by Erickson and the circumstances of the accident, it was more likely than not that Erickson was wearing a seatbelt at the time of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 w:name="Counsel_1"/>
      <w:bookmarkEnd w:id="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9"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Wasserman and D.R.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R.K. Hornquist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 w:name="Judgment_1"/>
      <w:bookmarkEnd w:id="21"/>
      <w:r>
        <w:pict>
          <v:line id="_x0000_s1040" style="position:absolute;z-index:2517626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 w:name="DROST J."/>
            <w:bookmarkEnd w:id="22"/>
            <w:r>
              <w:rPr>
                <w:rFonts w:ascii="arial" w:eastAsia="arial" w:hAnsi="arial" w:cs="arial"/>
                <w:b/>
                <w:color w:val="000000"/>
                <w:sz w:val="30"/>
                <w:lang w:val="en-US" w:eastAsia="en-US" w:bidi="ar-SA"/>
              </w:rPr>
              <w:t>DROST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17, 2000 the plaintiff, who was then 21 years of age, was injured while traveling as the front seat passenger in a motor vehicle owned and operated by the defendant.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Erickson claims that as a result of the accident he sustained multiple injuries, including: concussion, a laceration to his hand, a compression fracture of his T11 and T12 vertebrae, soft tissue injuries to his neck, shoulder and back, a lacerated tongue, a depressed comminuted fracture of the left frontal bone, and a mild traumatic brain injury to the left temporal and frontal lobes.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admits most of those injuries, including the depressed left frontal fracture, but denies that the plaintiff suffered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also alleges that the plaintiff contributed to his injuries by not wearing a seat belt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about 9 or 10 o'clock in the evening of July 16, 2000, the plaintiff, together with his then girlfriend, Deborah Dickinson went to the home of their friend, Colin Dorset, where the three of them began drinking beer. They were joined there by the defendant, who had not been drinking. A short time later Ms. Webber drove Mr. Erickson and his friends out to the Nanaimo Lakes area where a party was taking place and where, with the exception of the defendant, they had more to drink.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about 2 a.m. the following morning they decided to go home. By that time Mr. Erickson was, by his own admission, "pretty drunk". He got into the front passenger seat of the defendant's vehicle while Mr. Dorset and Miss Dickinson got into the back. After traveling for a few minutes along the Nanaimo Lakes Road, the defendant lost control of her vehicle. It veered off the road to the right, went down a slight depression, up an embankment and collided with a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Webber did not testify at trial, but extracts from her testimony on examination for discovery were read into evidence by Mr. Wasserman. While the bulk of her evidence related to the seat-belt issue, she did say that, to the best of her recollection, the vehicle was traveling at 60 to 70 kph when it left the road. The evidence, including photographs and the written and verbal descriptions of the condition of the vehicle after the collision, shows clearly that the impact was quite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Webber said that, immediately after the collision, she observed Mr. Erickson, still seated in the passenger seat, leaning forward and to the right with his head against the right door window. It seems that he was unconscious for a brief period before extricating himself from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Fortunately, Ms. Dickinson had a cell phone and was able to call 911 to report the accident. One or more ambulances soon arrived at the scene and all four were all taken to the Nanaimo Regional District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One of the crew of the ambulance that transported Mr. Erickson to the Nanaimo Regional General Hospital noted in the Crew Report that Mr. Erickson was then confused and repetitive, and that his Glasgow coma Scale at that time was 14 out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Nanaimo Regional General Hospital Mr. Erickson was assessed and found to have suffered bruising on his left arm, a 3 cm laceration of his tongue, an 11 cm, L shaped, laceration on his left frontal temporal area, and a 2 cm depressed left frontoparietal fracture with comminution.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CT scan taken at that time showed no intracranial hemorrhage or extra-axial fluid collection under the fracture site. In other words, no underlying brain abnormality was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attending emergency physician at the Nanaimo General Hospital had sutured the lacerations of his tongue and left temple, Mr. Erickson was taken by ambulance to the Victoria General Hospital where he was examined by Dr. G.S. Cameron, a highly experienced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way to Victoria, one of the ambulance crew recorded that Mr. Erickson was then drowsy, but his Glasgow Coma Scale had recovered to 15 out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Cameron was called as a witness, not to provide an opinion, but to testify as to his observations and diagnosis, and the medical treatment given to Mr. Erickson.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clinical notes he made at the time, Dr. Cameron recorded that he first saw Mr. Erickson, shortly after his arrival at the hospital, he was alert and oriented, and that while Mr. Erickson's voice was "slightly slurred" he had a "full vocabulary". He also noted that Mr. Erickson told him that he remembered "before the accident and at the scene, but not the accident"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he examined Mr. Erickson, Dr. Cameron found a ragged, vertical, 3" laceration of his left temple (previously sutured) extending to the left frontal convexity with underlying swelling extending under the forehead with a periorbital hematoma, a 2 cm compound depressed fracture to the left convexity and mid frontal area of his skull, concussion, bruising to his shin and biceps, a lacerated tongue (also previously sutured), and a mild compression fracture of the T12 vertebrae.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Cameron then performed a decompression of the left frontal fracture in the course of which he removed a small extra dural hematoma together with a "foreign body, 2 cms in size, black, either plastic or glass" that was imbedded in Mr. Erickson's skull. In a post-operative laboratory report that object was described as "a fractured portion of grey hard plastic material measuring approximately 2.0 x 1.8 x 0.3 cms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hospital records show that the next day, July 18, 2000, Mr. Erickson was out of bed, and that his speech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Cameron next saw Mr. Erickson on July 19, 2000, two days after the operation. He was then, in Dr. Cameron's words, "alert", "up and about" and "ready to go home". Later that day, Mr. Erickson was discharged from hospital into the care of his mother, with whom he stayed while recuperating from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Under cross-examination, Dr. Cameron acknowledged that it was possible that a patient, such as the plaintiff, who was alert and oriented following a head injury, might later suffer from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Erickson's family physician, Dr. G.C. Joly, provided a report dated September 6, 2001 in which he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Erickson's medical history is insignificant before his accident.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my first visit with him on July 31, 2000, the issues were mostly relating to his skull. He had an incision of his scalp on the left side. He had lost consciousness during the accident. He was not able to remember getting out of the vehicle, although he did have some memory of the site of the accident after it occurred. He had quite a marked laceration of his tongue with uneven edges. He had left upper arm contusions. He had pain in his lower back and his mid-thoracic spine. He had problems with short term memory. He was advised to do physiotherapy for his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reviewed again on September 8, 2000. His back was still hurting in the thoracic and lumbar areas. It was a constant pain which woke him up from his sleep. The pain was worse with extended standing or sitting. There was no radiation of the pain. He was doing physiotherapy, stretches and home exercise. His scalp incision was healing well. He was still having problems with his memory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Robin was reviewed again on October 23, 2000. He was still complaining of a sore back, memory problems and his tongue.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received a call from Michael Wawrykow, physiotherapist on November 16, 2000, who felt that he was finished with him in the gym and that he was probably physically able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 second report, dated September 8, 2003, Dr. Joly advised that the first time he saw Mr. Erickson after the accident was actually July 24, 2000, when he came in to have the sutures removed from his scalp. Dr. Joly then went on to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July 31, 2000, he was in for follow-up of his accident that had happened on July 17, 2000. At this time, his skull was less swollen ... He had pain in his lower back and his mid-thoracic spine, which woke him up at night. He was having short term memory problems ... On examination, his scars were healing well. His neurological exam was normal. His back was tender from the 8th to the 12th thoracic spine. He was advised to undergo physiotherapy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seen again on September 8, 2000. His back was still hurting in both areas of the thoracic and lumbar spine. The pain was constant. It woke him up with rolling. He was unable to sleep. The pain increased with standing and sitting ... He was doing physiotherapy and stretches. He was also doing home exercises. At that time, his range of movement was good. He had tenderness along both paraspinals. His left scalp was healing well. He complained of short term memory problems.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January 15, 2001 he was seen because of memory problems. He always had to work at remembering things, especially recent things. He was starting a self gym program and under going counselling. His back was still aching. He was referred to Dr. Kim Waterman, neurologist. Unfortunately, Robin was unable to keep that appointment with Dr. Waterman.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February 13, 2001, he was improving. He needed a massage prescription. He was doing stretches, attending gym, doing cardio-respiratory, at work and weight training. He was receiving counselling from Cindy Fisher.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reviewed again on August 23, 2001. His thoracic spine showed continuing, constant pressure. He felt he had to sit hunched over. The pain was not severe and he was doing stretches. He was still having lumbar pain. It hurt on awakening, but got better during the day. ... He was unable to do any sports because of his back. Doing dishes increased his pain; sitting for prolonged periods also increased his pain. Examination of his back showed a full range of movement at this time, but his paraspinals were still tender.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reviewed again on November 16, 2001. He was still having spasms in his upper and lower back. He was also having constant pain. The pain would wake him up at night. He was doing stretches and going to a chiropractor for treatment. Examination of his cervical spine showed a good range. The thoracic and lumbar spine also showed a good range, but he had tenderness of his paraspinals all the way down. He was advised to continue with physical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Joly's last examination of Mr. Erickson, before preparing his September 8, 2003 report, was on October 10, 2002, at which time,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complained of fatigue. He was unable to sleep because of his back pain. His bed was lumpy and springy. His upper and lower back pain was still hurting with any effort. He was suffering from anxiety and emotional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Robin has suffered multiple effects from his motor vehicle accident of July 17, 2000. Probably the most significant insult would be the concussion and consequent effects on his brain. I know that he has problems with memory, concentration and mood as a result of the accident. He had a compound depressed left frontal fracture that contributed to this and a moderate concussion. He had a laceration of his tongue. He had a fracture of the twelfth thoracic vertebra. He had a paraspinal muscle injury involving the thoracic and the lumbar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prognosis, I think it is difficult at this time to prognosticate on the eventual outcome of the brain injury. This is a very complicated issue and difficult to measure. This is compounded by the fact that I did not know Robin before the accident and therefore I am unable to make some comparisons. His physical injuries, mainly involving his thoracic and lumbar spine probably will probably (sic) continue to bother him for some time, but I think in the end there will be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trial, under cross-examination, Dr. Joly stated that when he examined Mr. Erickson in October 2002 he felt that the fractured vertebra would heal within approximately one year, and that there appeared to be no need to refer the plaintiff to an orthopaedic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March 11, 2004, at Mr. Erickson's request, Dr. Joly signed a form entitled "Medical Report (For Persons Who Have Persistent Multiple Barriers To Employment)" in which he declared that, since July 17, 2000, Mr. Erickson had suffered from a head injury and chronic neck pain, conditions that Dr. Joly considered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Erickson testified that the skull fracture was very painful and that during the first few months following the accident he suffered from constant sharp headaches and a feeling of dizziness. The headaches continued on a more or less daily basis for a year, and since then have then eased to the extent that they are less severe and no longer a daily occurrence. He said that they now come on about once a week, but still last for a full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Erickson also testified that during the first year after the accident his back was swollen and tender, and he suffered constant pain in his shoulders and middle back. He said that bending, stretching and lifting were difficult whereas, before the accident he had no back problems other than a need for some chiropractic treatments following a ski-boarding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said that his back has improved, but he still experiences pain there from time to time. Apart from general pain, he said that his back still feels "fragile", and he needs help when lifting heavy objects. Also, he said that when he sits for periods of 30 minutes or more, he said, his back feels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 some time after the accident, his lacerated tongue was very painful and he had to take nourishment through a straw. There is still a small lump where the scar tissue formed, but his sense of taste has not been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has been left with a scar on his forehead, but it is largely covered by his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His principal complaints at this time are that he has difficulty concentrating and his memory has been affected. He says that he finds this frustrating and embarrassing, and claims that, as a result, he has had difficulty finding and keeping a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Medical and Psychological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Stanley Leete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Leete is an orthopaedic surgeon who, in a report dated September 18, 2003, described the results of his examination of the plaintiff on September 17, 2003. In addition to conducting a clinical examination, Dr. Leete reviewed a number of the existing clinical records and reports, as well as the X-rays taken at the Nanaimo General Hospital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report, Dr. Leete stated that the X-rays taken in Nanaimo show a "minor compression fracture of T12", a conclusion confirmed by further X-rays taken when he examined Mr. Erickson. The later X-rays led Dr. Lette to believe that Mr. Erickson had also sustained a "minor compression fracture of T11."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Leete opined that, as a result of the accident, Mr. Erickson sustained a flexion and possible subsequent extension injury to his thoracolumbar spine, and that the flexion injury "would certainly account for the compression fractures of T11 and T12". He went on to say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musculoskeletal standpoint, these are the only long term sequelae from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Compression fractures around the thoracolumbar junction are frequently a cause of ongoing discomfort. Fractures of a relatively small degree can cause long term thoracolumbar discomfort, such as Mr. Erickson describes. There is no form of surgical treatment which would benefit him and all treatment should be aimed at modification of lifestyle and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will not be a suitable candidate for any form of heavy manual work. Any work that involves prolonged sitting or working in a stooped position with lifting will aggravate his back discomfort, aggravating the discomfort and render him unable to continue in that type of occupation.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spinal injury combined with his memory difficulties may render him virtually unemployable. I would suggest that he be seen by a neuropsychologist and undergo aptitudinal testing to see what type of employment may or may not be available to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this clarifies his situation from a musculoskeletal standpoint.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F. Spellacy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Spellacy is a psychologist who specializes in clinical neuropsychology. He saw Mr. Erickson for the purpose of neuropsychological assessment on July 17 and 18, 2001, and again on February 17 and 18,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first report, dated July 26, 2001, Dr. Spellacy set out Mr. Erickson's history, as related to him by Mr. Erickson and gleaned from a review of other records provided to him. He noted that Mr. Erickson denied that there had been any change in his social life following the accident. He also told Dr. Spellacy that, as a boy, he had attended many schools, and was able to fit in without any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that report, Dr. Spellacy also discussed in considerable detail Mr. Erickson's then current complaints. He reported that, amongst other things, Mr. Erickson described difficulty with recent memory and said that he easily became distracted. He said that Mr. Erickson complained of low and mid back pain, constant headaches and said that the injury to his tongue had left a scar which caused him to gag and feel nauseous.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Concerning the results of the various neurological tests that were administered, Dr. Spellacy reported that the full scale IQ score achieved by Mr. Erickson on the Wechsler Adult Intelligence Scale test falls within the average range, while his verbal IQ score was within the low average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his language and communication skills, Dr. Spellacy reported that Mr. Erickson spoke with normal sentence length, content and melody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no obvious paraphasias during the course of spontaneous speech although he appeared to have difficulty articulating his thoughts in words. His speech often was tangential and he frequently completed sentences using hand gestures.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also noted that on formal testing no language difficulties were evident.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report Dr. Spellacy stated that, based upon reported description, Mr. Erickson had suffered a moderate head injury in the accident, and that the test results were consistent with an injury to the left temporal and frontal lobes of his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 follow-up report, dated March 11, 2004, prepared after he had again reviewed Mr. Erickson's history, his complaints, and the results of several additional tests that had been administered, Dr. Spellacy stated, in summary:</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Robin Erickson is a 25-year old man with Grade 11 education. At the time of his injury he was employed as a sales representative for a resort. He has also worked at the following occupations: delivery and restaurant work (non-skilled).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Erickson was injured in a motor vehicle accident that occurred on July 17, 2000. Medical records indicate he sustained a traumatic brain injury (Glasgow Coma Scale 14, skull fracture). In addition to a head injury he also sustained fractures to cervical vertebrae. He reports prolonged period of post-traumatic amnesia.</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this assessment, 3 years, 7 months have elapsed since the time of his injury. Mr. Erickson continues to complain of difficulty with memory, concentration, word finding, mental organization, and slowed thinking.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Neuropsychological testing was carried out under generally favourable conditions. Mr. Erickson had occasional difficulty understanding instructions but gave good effort. There was no indication of symptom exaggeration. He showed test evidence of anxiety and depressed mood. His score on the Penn Inventory (a measure of post traumatic stress symptoms) was 47 (the cutting score indicating PTSD = 3.5). At the time of testing he did not appear sad or unusually anxious.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Erickson continues to show evidence of weak cognitive abilities with impaired concentration, slowed verbal information processing speed, and weakness in recall of verbal information in the presence of average measured intelligence. These cognitive weaknesses are consistent with injury to the left side of the brain. Even more noticeable than cognitive test results are the continuing complaints of low drive level, poor organization, apathy, and, not surprisingly, depressed mood. These personality changes have been remarked upon by his mother, and most recently by his sister, as well as being commented upon by Mr. Erickson himself. Such changes, although not clearly reflected in cognitive tests are common outcomes in persons who have sustained injury to the frontal lobes of the brain. This man's reported inability to maintain employment following his injury is also consistent with such an injury and associated altered personality and drive level.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of this man's family indicate that he was functioning as an average young adult prior to his injury. Following his injury, he has shown a marked change in personality, has been ineffective at obtaining and holding employment, and has shown a significant role reversal in the relationship with his younger sister. I do not fell that these changes are a result of depression, but rather depressed mood is a reaction to an altered lifestyle arising from the above-noted weaknesses following brain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last assessment of this gentleman, I noted he was not sufficiently depressed to account for the weaknesses in testing, but nonetheless suggested it would be helpful for him to see a psychologist or psychiatrist to aid him in adjustment. That continues to be my opinion. Whether or not he will be able to find and hold employment remains to be seen, but I feel he will probably require the services of a job coach if he is to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Andreas O'Breasail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O'Breasail is a psychiatrist. He provided a report dated June 24, 2004, in which he stated, in part, that when he saw Mr. Erickson on April 13, 2004, Mr. Erickson told him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no memory of the accident itself. The last memory he has prior to the accident is getting into the vehicle on his way to a social gathering. He does not remember anything following that and does not know how long prior to the accident the last memory is. The next memory he has is of leaving the hospital in Victoria. He had been admitted to the hospital, transferred to Victoria General Hospital, and was discharged on the 20th of July. His memories in and around that time, three days post accident, are patchy. He can recall being wheeled in a wheelchair.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accident, he has continued to have a number of problems. The memory difficulties have persisted, particularly with regards to short-term memory. He has great difficulty retaining information. He finds that his thinking process is generally slowed up. He is slower to respond to questions. His concentration is impaired. He has difficulty focusing on the task at hand. He tends to be distractible.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continues to get headaches, although less frequently than he had initially following the accident. They occur about twice a week. He states that his balance is somewhat impaired. He does not feel as sure of himself on his feet.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have been mood changes. At times he has been irritable and angry, generally with himself ... He has a lower frustration tolerance. He has had difficulties with mood with regard to depression. At times he has felt sad. In the first year or two after the accident, he had a number of occasions when he became quite tearful. He also describes feelings of tension or being stressed at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reports at times that he tends to be socially withdrawn. He has had periods of hopelessness and occasionally has had suicidal thoughts, particularly earlier on following the accident, although these have been less prominent in recent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this man suffered from a traumatic brain injury in the motor accident of July 17, 2000. There is evidence of a blow to his head. He suffered a depressed fractured skull in the accident. There is some evidence of alteration of consciousness at the scene of the accident in that he had a depleted Glasgow Coma Scale score of 14/15. He has a retrograde amnesia likely in the manner of up to an hour and a posttraumatic amnesia that lasted at least three days. Certain factors, however, have to be taken into consideration in and around the accident. The first one is that he had been drinking quite heavily and this certainly would influence his retrograde amnesia. .... Having said that, his description of how he felt after the accident and certainly in the three months following it are consistent with at least a moderate traumatic brain injury. He had trouble thinking. His thoughts were garbled. He had word finding problems and he had significant impairment in his memory and concentration. Associated with this were mood changes, including depression and anxiety. He also had changes in his sleep pattern.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it is my opinion this man suffered a moderate traumatic brain injury in the motor vehicle accident of 17 July 2000. It is now nearly four years since the accident occurred. The natural course of events following a traumatic brain injury is for most recovery to occur in the first year and incrementally less recovery to occur in the second and third year. Following that, minimal change occurs. This man has been left with permanent deficits, as clearly outlined in the neuropsychological report. He has cognitive difficulties with impaired concentration and memory, and word finding difficulties, all of which are consistent with traumatic brain injury. He also has mood changes with depression, anxiety and irritability.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Since [the accident] he has been incapable of maintaining employment. He has been able to obtain employment on a number of occasions, but has never been able to work full-time. He has not been capable of maintaining even his part-time positions. I do not believe there is likely to be a change in this situation in the future. He may be able to work in a highly structured environment on a part-time basis where intellectual requirements would be minimal. I am unsure if physically he would be capable of such work. However, that would be up to his physicians dealing with his physical care to assess and make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David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Ellis is an orthopaedic surgeon. On May 26, 2004, he examined Mr. Erickson on behalf of the defendant. His report is based on an interview and physical examination conducted that day, and a review of the medical imaging and documentation then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preparation of his report, Dr. Ellis assumed that when the accident occurred, Mr. Erickson was probably unbelted, and that the difficulty he experienced in eliciting Mr. Erickson's history was due to memory problems. He noted that while Mr. Erickson had residual symptoms in the thoracolumbar spine area, objective findings were limited to spinous process tenderness and he found there to be no neurological deficit. He also found Mr. Erickson to be overweight with poor abdominal muscle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That said, he reported that Mr. Erickson presented his history in a straightforward manner, with no tendency to exaggeration. He also found that Mr. Erickson had "significant difficulty" with memory regarding post-accident events, treatment modalities, consultations and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Dr. Ellis' opinion, Mr. Erickson's recent job history is consistent with ongoing problems with memory and concentration, and that has had an impact on his ability to hold a job. However, he did not agree with Dr. Leete's prognosis of frequent ongoing discomfort, or Dr. Leete's prediction of long term functional impairment for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respect to Mr. Erickson's orthopaedic injuries (the area of his expertise) Dr, Ellis stated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thoracic spine fracture comprises a stable wedge fracture of the vertebral body of T12, insufficient to disrupt the interspinous soft tissues. There is no evidence of nerve root tension or neurological involvement.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of such fractures progress to uneventful healing, within 3 to 6 months, without long term functional impairment.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long term benefit from the use of passive modalities such as chiropractic or massage treatments, and the "mainstay" of conservative treatment for such an injury is a stretching and strengthening regime, progressing to pool exercises and swimming.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pursuit of an active rehabilitation programme, associated with weight loss, should resolve much of the discomfort in Mr. Erickson's thoracolumbar spine despite the almost four years that had elapsed since the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5 to 10 percent of patients with this type of fracture suffer long term discomfort and serious functional impairment.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potential for degenerative changes over time in the adjacent disc spaces, but these are seldom associated with a significant increase in symptoms. Operative intervention is not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Ellis stated that, while he did not have sufficient documentation of the accident itself to postulate a mechanism of injury, the type of injury sustained is associated with forced flexion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Michael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Jones is a neurologist. On September 19, 2003 he examined the plaintiff on behalf of the defendant. In a report dated that day, Dr. Jones stated that the plaintiff's complaints were, at that time, in order of severity:</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memory was not normal; he had a short term memory problem.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"incredible" low back pain that was always aching and he was always tired because of it.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felt "super weak" and out of shape, de-conditioned and uncomfortable.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felt irritable and had a short temper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Jones reported that when he asked Mr. Erickson what his first memory was after the accident, her replied that he remembers waking up in the Victoria Hospital with a turban on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Erickson told Dr. Jones that he had a chronic, severe throbbing headache for a long time, but that eventually it got better and he then had "more of a sharp, piercing headache that comes and goes." He also told Dr. Jones that those whom he described as his "team", his lawyers and Drs. Joly and Spellacy, seemed to be more worried about his head than his back, which had been more of a handicap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Under the heading "Impression and Discussion" Dr. Jones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complicated case. Superficially at face value this fellow is describing or self-reporting (in that I have no objective collateral information) of many of the features I would expect someone to suffer from who has had a traumatic head injury and has been left with shortcomings. He seems to have shortcomings, in terms of his memory and his personality. He uses a number of words and phrases as one typically sees in people with genuine brain injuries. He gives a convincing example of how he did poorly in the bartending course where he did fine within the class itself but then couldn't carry over that information to the exam setting. He suggests that he was working competently and very well and was expecting a promotion in his job of one year at the time of his accident but has not been able to go back and hold a job since then.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his head injury, with the depressed skull fracture and small epidural haematoma removed by Dr. Cameron, could have the potential to give rise to traumatic brain injury symtomatology.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of the confusing paradoxes are the fact that the people at the Nanaimo Hospital described him as being confused but on the other hand alert and oriented. Similarly, Dr. Cameron, an experienced neurosurgeon, less than 12 hours later, described him as being alert and oriented and he and/or another physician described the patient as giving a sensible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paradox is that if one believes what Robin says, his post-traumatic amnesia is in the order of at least two days, closer to three, from Sunday night to sometime on Wednesday. I think a lot of that post-traumatic amnesia, though, needs to be tempered by the fact that he had a general anaesthetic for the neurosurgical procedure and by his own admission he had had a lot to drink, although he doesn't think he was drunk. The alcohol could have clouded his abilities to lay down new memories.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I think it possible he has sustained a frontal lobe brain injury, and possibly also some of the deeper structures within the temporal that are necessary for memory, I am not totally convinced based on his account of things today. For example, the records clearly document he had difficulties prior to the accident in school, with a lot of failures and shortcomings. A lot of the failures and shortcomings he has now could simply just be a continuation of what was there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probably I should await a final opinion until I have had a chance to review more information on him, such as the results of the neuropsychological testing. It would be of interest to speak to others who have known him before and after, in terms of getting collateral information, as well as to find out the impression of his employers for the number of jobs he has held since the accident that he says he hasn't been [able to] hold onto for one reason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 later report, dated June 1, 2004, Dr. Jones referred to the following additional information that he had, in the meantime, received and reviewed:</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Reports of Dr. Spellacy dated July 26, 2001, January 7, 2004 and March 11, 2004.</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of Collin Dorset.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of Deborah Jo Dickinson.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Investigation Report.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Ambulance report of July 127,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Discussing that information, Dr. Jones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one accepts Dr. Spellacy's thesis that this was a normal functioning, well-adjusted young man prior to the accident, then it would seem that there has been a change for the worse. The change for the worse could in fact relate to a traumatic brain injury. Although Dr. Spellacy doesn't comment on it, Mr. Erickson also complained to me about having "incredible low back pain that is always aching". Dr. Spellacy doesn't seem to have taken that fact into consideration in his testing or possibly Robin doesn't have pain anymore. I think some patients with chronic pain can have an impaired profile on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based on the objective data that we have from the ambulance report, plus the observations from the physicians in the Nanaimo Emergency Room and Dr. Cameron and his colleagues at the Victoria General Hospital, is that his duration of post-traumatic amnesia would be very short and certainly not days as Robin suggested. This would, to my mind, put him in the category of having had a mild or at the most moderate head injury, in terms of using this parameter.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 did have a traumatic brain injury one, of course, would expect "an injury scarring and damage" under the site of the fracture. The fracture was over that part of the brain that would subserve speech (the speech centre) and the motor centre. I certainly did not find anything from my assessment that made me think he had difficulty with communication, either in terms of comprehending or expressing and similarly there was no asymmetry in his arms and legs for muscle tone, strength and co-ordination. As I read Dr. Spellacy's report, it seems he didn't find any definite deficit that could be characterised as a "dysphasia" (errors in communication) or motor asymmetry on his various grip strength tests and Purdue Peg Board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is probable that Robin may well have had a post-concussion syndrome. He for weeks and months may well have had many of the problems on a genuine traumatic basis, such as he described with headaches and drowsiness, and problems with memory and irritability.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these injuries there is usually a normal transition from the organicity of the injury itself to healing for the symptoms to fully recover. There are however a small subset of patients who following such minor injuries continue to be symptomatic for months and years. In those there is probably a subtle shift from the organic symptoms at the outset to those that become maintained on a psychological basis related to stress, depression and anxiety, coupled with whatever degree of chronic pain exists. On the other hand there are others who continue to be symptomatic that simply, in fact, have returned to their baseline and are describing pre-existing symptoms which I think is the case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is that it's most probable that what we are now seeing is a fellow who was not functioning as ideally as was suggested (a well-adjusted young man) prior to the accident. He clearly had well-documented pre-existing problems in many areas but now "because of my brain injury" is projecting these to or attributing them to the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under cross-examination Dr. Jones made it clear that he is not saying that the plaintiff does not have a memory problem. He agreed that Dr. Joly's notes are consistent with him having that problem, and that his failure to remember work schedules and the fact that an employer required him to undertake further training are important considerations when assessing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Occupational Therapy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August 25, 2000, Linda Daniels, an Occupational Therapist, reported that she had conducted an interview and assessment of Mr. Erickson on august 22, 2000 at which time he identified his current problems as:</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with attention, short term memory, as if he is in a "fuzzy blur".</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Poor articulation.</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his mid back. Low back and non-dominant 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Daniels reported that Mr. Erickson diagrammed and described constant pain around T3-4 and L4-5 and that he had periodic dizziness that interfered with his balance. Whether the latter condition was observed or reported she did not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summary, she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Erickson is making good recovery from the injuries sustained in the accident of July 17, 2000. He is independent in self-care and most instrumental activities of daily living without equipment or activity modification. He has headaches and pain in mid and low back and his right wrist at the ulna. He has difficulty sleeping. Speech articulation is not clear. Range of motion is within average limits. Strength and endurance are diminished in comparison to his pre-accident level of fitness. Mr. Erickson has noted some attention and memory difficulties that will hopefully continue clear as he recovers.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November 22, 2000, Ms. Daniels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no longer has pain in his left arm or right wrist. He no longer experiences dizziness or loss of balance. He feels that his articulation is back to his pre-accident level. He has some raised tissue on his tongue and reports that he does frequently bite his tongue while talking.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 Erickson is living in his own apartment at this time. He is managing all homemaking and shopping tasks.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Erickson indicates that most physical capacities are at his pre-accident level, although he describes himself as moving "like an old person." His primary limitation now is sitting: he can only sit for about one-half hour and then must get up and move around or carry out some back stretches.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her final report, dated April 6, 2001, Ms. Daniel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continues to make slow progress in his recovery. He reports a lessening of all physical symptoms.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current pain diagram indicates reduced areas and intensity of pain. He continues to have pain between his scapulae, the centre of his low back and over both sides of his pelvis over the iliac crests. His cervical range of motion is now within average limits except for lateral bending to the right, -5 degrees. His grip strength remains in the average range for men in his age group.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Erickson indicates that most physical capacities are at his pre-accident level, although he describes still having some stiffness. He continues to have some difficulty with sitting, requiring frequent breaks fro stretching and walking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Pre-Accident School and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Erickson's parents separated in 1987. He was 9 years old and in elementary school. His father moved to northern British Columbia and Mr. Erickson and his sister continued to live with their mother in the Nanaimo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seems that Mr. Erickson was badly affected by the separation. His mother, Caroline Erickson, testified that before the separation he was, on the whole, a happy child, but that afterwards nothing seemed to matter to him. She said that he took a dislike to school and felt that it was unimportant.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Erickson's school records were produced and they are quite dismal. In April, 1988 he was referred by his mother for psychometric testing in order to determine his intelligence level and identify any possible learning problems. He was found to have a verbal scale I.Q. at the 84th percentile, a performance scale I.Q. at the 95th percentile, and a full scale I.Q. at the 93rd percentile. On the verbal tests, three of his scores were reported to be "significantly above the mean for his age" and the other three were "well within normal limits." On the performance tests, four of his scores were "significantly high" while the other two were "within normal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While the testing showed that Mr. Erickson has a higher than average degree of intelligence, it also disclosed "a significant number of emotional problems centred mainly around impulsiveness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continued to do poorly at school. In June 1988 his teacher reported that he had completed the Grade 4 program, but forecast that he would find it difficult to keep up with the Grade Five program unless his attitude and behavior improved. Apparently they did not. He was held back at the end of Grade 5 and had to repeat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one notable exception Mr. Erickson's record of poor attendance and lack of application continued throughout the balance of his school career. The one exception was Art where, according to the teacher whose classes he attended for three years, he showed creativity and a talent for graphic design. She said that he did good work, and described him as happy and enthusiastic.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March 1997 Mr. Erickson enrolled at the Northbrook Learning Centre in Nanaimo with the intention of completing his Grade 10 courses. However, one month later he was advised that his attendance was below minimum requirements and that if it did not improve he would be removed from the program. In October and November 1997 he was again informed that his attendance was unsatisfactory and that unless improvement was shown he would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Apparently there was no improvement and on March 4, 1998 Mr. Erickson was removed from the register of the Learning Centre. By that time he had completed most of his Grade 10 courses, a few Grade 11 courses, and one Grade 12 course in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Erickson put forward an explanation for his poor performance at school. Following his parents' separation, his mother moved around a great deal and, as a consequence, he attended several different elementary and high schools. He said that he spent most of his time at those schools trying to make new friends rather than attending to his school work and assignments.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But that affords only a partial explanation. Mr. Erickson testified that when he left school his plan was to work for while in order to earn some money, and then obtain a G.E.D. certificate and attend college. Yet, at the time of the accident, more than two years after leaving school, he had made no plans to upgrade his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the evidence, I find that the basic reason for Mr. Erickson's poor performance at school was that he had no real interest in obtaining a formal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After leaving school, Mr. Erickson's first job was at a McDonald's. However, he quit after one month because he was given very few hours of work. He then remained unemployed until February 1999, when he got a part-time job as a delivery driver for Central Drug Stores in Nanaimo. He left that job after three months employment because, once again, he said that he was not getting enough hours of work. He then worked for a few months for the Read Apple Clearance Centre unpacking boxes.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the end of September 1999, Mr. Erickson began working for Pacific Shores Nature Resort (now known as "Starpointe"). His girl friend, who was already employed there, told him that there was a job opening and his application was accepted. The job was in telemarketing; selling time share packages. He began as a ''surveyor'', telephoning people who had shown an interest in buying a time-share package in order to confirm their interest, for which he received the minimum wage. After a few months he became a "booker", a position he held at the time of the accident. As a "booker" he received a commission in addition to the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Erickson testified that he enjoyed the work and did it well. That was confirmed by the testimony of his former supervisor, Sean Enns. He said that the key requirements for the job are a positive mental attitude, persistence, confidence, and the ability to quickly develop a rapport with the potential buyer, and that Mr. Erickson had all of those qualities. He said that Mr. Erickson had "a way of stringing words together", and that he developed "instant rapport" with potential customers. He described the results achieved by the Plaintiff as "remarkable", "well above the average" and "as good or better" than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asked about the Plaintiff's work habits, Mr. Enns he said that he had no specific recollection, but they must have been good because he had perused the company's records and found nothing to indicate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However, Mr. Erickson's Starpointe personnel file contains, between October 30, 1999 and June 19, 2000, several entries and three warning notes concerning his late arrival at work, due to sleeping in, or a failure to show up for work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Post Accident Circumstances and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far as his recreational activities are concerned, before the accident Mr. Erickson did a lot of skate-boarding and some snow-boarding. He also played a bit a street hockey and basketball and some golf. Since the accident he has done some light rowing and bike riding. He has played golf, but only on pitch and putt or 9 hole courses. He said that he has tried other activities, but finds that "heavy sports" bring on a lot of pain in his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Erickson's mother, his sister, and several friends and acquaintances including Ms. Dickinson, Mr. Dorset and his current girl friend, Kelly Gamble, gave evidence about the physical and mental impact the injuries have had on Mr. Erickson. They spoke of many difficulties he now has with respect to his memory, his frustration and bouts of anger, a loss of speech dexterity, and his inability to sit or stand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Erickson and Ms. Gamble have been in a steady relationship for the past 3 1/2 years. She testified that it is a good relationship. They see each other every day, and she stays with him 3 or 4 days a week. Ms. Gamble testified that there has been no improvement in Mr. Erickson's physical condition over that time. She said that his back still remains a "major problem" and that he still has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Erickson's first job after the accident was at a newly opened Super Store in Nanaimo where, in January 2002, he obtained employment as a part-time clerk in the Photo/Stereo department. His supervisor, Christine Popham, testified that when she hired Mr. Erickson as a part-time employee, he seemed very eager to get back to work and told her that he would be able to handle the job. He wanted to be considered for a position as a "specialist", which would have entailed more hours of work and a higher income. However, Ms. Popham testified that she had selected three other employees for that position because their product knowledge was greater than Mr. Erickson's. She said that while his work was good, others were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remained at the Super Store until March 7, 2002, when he quit. He testified that he had difficulties with the schedule of his working hours; that because his work schedule was changed without notice he would not arrive, or be late, on days when he was scheduled to work and then show up for work on days when he was not. He said that because of the schedule problems and the fact that his hours of work were reduced, he got "fed up" and left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Popham, however, testified that the work schedule for the following week which was posted each Thursday could change and that she had talked to Mr. Erickson about the schedule and told him to check it every day. As to his hours of work, Ms. Popham testified that, after the initial training period had ended and the stocking and labelling of product completed, the number of employees on duty at any given time was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After leaving Superstore, Mr. Erickson took a bartending course at Malaspina College. However, he testified that it soon became clear to him that he was unable to retain enough of the course material and instructions in his mind to pass the exams. Feeling frustrated, he once again quit.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next position he obtained was as a telemarketer for RMH Telecommunications, a position very similar to that which he had with Pacific Shores before the accident. This time his job was to call people and try to persuade them to change to a different long distance carrier. After the standard two weeks of training, Mr. Erickson was deemed not yet ready to start work and he was required to take a further four days of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Erickson's supervisor at RMH, Vilma Aroche, has known Mr. Erickson since elementary school days. She testified that he changed after the accident and was not the same person as before. She said that while he was able to do the job when led through the process, on his own he would have problems with the computer he was required to use and the pricing plans and other information he had to keep in memory. As a consequence, she said, Mr. Erickson required repeated coaching. She also noted that he frequently complained of headaches and backache.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Aroch was obliged to warn Mr. Erickson that his performance was not satisfactory and after six weeks he told her that he could not do the job and quit.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Erickson then found part-time work in the shoe department of a Wal-Mart store where again he had problems with his work schedule. He also claimed that he had physical difficulties with lifting and standing, which he said aggravated his back problem. He quit that job in August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last job he held was at a Petro Canada station where he was employed on a daily part-time basis to prepare cars for the car wash and pump gas. He worked only two days before quitting. On Sunday, December 8, 2002, he worked a full 8 hours, including some training time. He was expected to work the next day but he failed to show up. Mr. Erickson testified that he thought he was on call. However, his employer testified that he telephoned Mr. Erickson on Monday and again on Tuesday, but was unable to reach him. On Wednesday he was able to reach Mr. Erickson and he came in for 4 hours of work. However, when he failed to appear on Thursday and Friday, his employer hired someone else to do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That was the last job Mr. Erickson has had since the accident, and since March 2003 he has been on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trial, Mr. Erickson testified that he had no recollection of the accident whatsoever. He said that his last recollection before the accident was being at Mr. Dorset's house, that his next was in the ambulance on the way to Victoria, and that he recalls talking to a doctor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However, in his report, dated July 26, 2001, Dr. Spellacy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Erickson does not recall going off the road. He does remember, however, looking toward the back seat and conversing with the passengers in the backseat just prior to the accident. He felt that his memories surrounding the accident were likely impeded by the alcohol that he consumed that evening. He has some memories of his time in the hospital, such as being very thirsty but not receiving water because of his impending surgery. He said that he began to have continuous recall of events about five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September 19, 2003, Mr. Erickson told Dr. Jones that his last memory before the accident was of being at a party and that all of the people there, including himself, were intoxicated. He said that his first and "very clear" memory after the accident is waking up in the Victoria hospital with a turban on his head and being incredibly thirsty.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April 13, 2004, he told Dr. O'Breasail that he has no memory of the accident itself, that the last memory he has prior to the accident is getting into the vehicle on his way to a social gathering, and that his next memory is of leaving the hospital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it significant that, in contrast to these inconsistent accounts, on July 24, 2000, four days after the accident, Mr. Erickson voluntarily gave a written statement to an ICBC investigator in which he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headed back for home around 2:00 a.m. Jenny was driving in a normal, cautious manner. I was in the right front seat. I don't know if I was wearing my seat belt. Road and weather conditions were good but the road was very windy. Jenny was in the proper lane and not encroaching on the other lane. All of a sudden I saw the high beams of a vehicle coming towards us. I can't say how far ahead it was but it was definitely in our lane. Jenny swerved right and the next thing I recall is being on the side of the road. My head was bleeding and I think I had been unconscious. Shortly after emergency vehicles arrived and I was taken to NRGH. I was later transferred to Victoria General. I have read the foregoing statement and it is true to the best of my knowledge and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Under cross-examination Mr. Erickson said that he has a "slight" recollection of meeting someone at his mother's home and of giving a statement, but that he does not believe he then had those recollections. I found that attempt to explain away his statement to be quite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noted above, when Dr. Cameron first saw Mr. Erickson, shortly after his arrival at the Victoria General Hospital, he was "alert and oriented" and had a "full vocabulary". Dr. Cameron also reported that Mr. Erickson told him then that he remembered "before the accident and at the scene, but not the accident"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Cameron is a highly experienced neurosurgeon and it is highly unlikely that he would be mistaken about such important indicators of Mr. Erickson's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light of those inconsistencies, I have concluded that Mr. Erickson is an unreliable witness, not only concerning the extent of his recollection of the events surrounding the accident and his subsequent treatment, but also as to the effect that he says the accident has had on his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Accordingly, I find that, to the extent that they relied on Mr. Erickson's self-reports in reaching their opinions rather than their own objective findings, the evidence given by the medical, psychological and vocational witnesses must be considered with caution.</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physical injuries suffered by Mr. Erickson consisted of some bruising of his upper left arm which healed quickly, a depressed left frontal skull fracture, a compression fracture of the twelfth (and possibly the eleventh) thoracic vertebra, and a troublesome laceration of his tongue. He has been left with a scar on his left forehead which, fortunately, is covered by his hair and does not present a significant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skull fracture required surgical treatment followed by a 3 day stay in hospital. The sutures were removed one week later and no further treatment was necessary. Mr. Erickson testified, and I accept, that the fracture was very painful and that during the first few months following the accident he suffered from constant sharp headaches and a feeling of dizziness. I note that when he was seen by Dr. Joly on September 20, 2000 his scalp was healing well and, although he mentioned short term memory problems, Mr. Erickson did not, at that time, complain of any continuing pain at or near the fracture site. On November 22, 2000, Ms. Daniels reported that he no longer experienced dizziness or loss of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therefore conclude that the skull fracture and the associated feelings of dizziness and loss of balance had resolved within 4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With respect to his back injury, Mr. Erickson has undergone physiotherapy, massage, as well as chiropractic and rehabilitation treatment. He was taught stretching exercises to do at home which, he says, he performs regularly. However, he continues to complain of pain in the thoracic and lumbar areas of his back which, he said, is exacerbated by extended sitting or standing. While testifying at trial, his frequent requests to stand and stretch demonstrated a significant degree of physical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apart from Mr. Erickson's self reports, the evidence does not support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No surgical intervention was required and, according to Dr. Leete, while compression fractures of this nature are frequently a cause of ongoing discomfort such as Mr. Erickson described, in the majority of such cases the symptoms resolve within 6 months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Ellis testified that Mr. Erickson suffered a stable compression fracture, and that the majority of such injuries progress to uneventful healing within three to six months without long term functional impairment. In fact, he said, fractures of that nature are very common and may occur without any physical symptoms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Accordingly, Mr. Erickson's complaints of long term, continuing back pain must be carefully scrutinized.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When Mr. Erickson saw Dr. Joly in September 2000, his range of movement was good. In November of that year, Ms. Daniels reported that he was making good progress in his recovery and that, by his own account, most of his physical capacities had recovered to pre-accident levels. That month, his physiotherapist pronounced him fit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April 6, 2001, nearly five months later, Ms. Daniel reported that Mr. Erickson was still complaining of pain between his scapulae, the centre of his low back and over both sides of his pelvis, as well as continuing stiffness and difficulty with sitting. However, she noted that his cervical range of motion was within average limits (except for lateral bending to the right) and advised that Mr. Erickson, himself, had reported a lessening of all physical symptoms and that most of his physical capacities had recovered to his pre-accident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According to Dr. Joly, Mr. Erickson continued to complain of back pain right up to his last visit on October 10, 2002. On August 23, 2001 he told Dr. Joly that the pain was not severe but on November 16th of that year, while examination of his cervical spine showed a good range, he reported constant pain that would wake him up at night. On October 12, 2002, Mr. Erickson was still complaining that he was unable to sleep because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Despite those complaints, by his own assessment Mr. Erickson was able to return to work in December 2001, when he applied for the job at the Superstore. He began working there in January 2002 and his supervisor, Ms. Popham, whose evidence I accept, testified that she saw no sign that he was having difficulty with lifting or standing, and that he never complained about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Perhaps the most telling evidence regarding the severity of Mr. Erickson's back injury is the fact that approximately one month after the accident he and his girl friend, Deborah Dickinson, drove north to McKenzie B.C. where his father lives. Because Ms. Dickinson had a broken foot, Mr. Erickson had to drive all the way there and back. According to Ms. Dickinson, on the way to McKenzie they made several stops in order to give Mr. Erickson a chance to stretch. They broke the journey by camping the first night and completing the trip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However, one week later, when they had to hurry back to Nanaimo, they made the return trip in just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evidence as a whole, and in particular the fact that Mr. Erickson was able, not only to make the journey to McKenzie just one month after the accident, but to do all the driving, leads me to the conclusion that all along he has been overstating the extent of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as a result of the accident, Mr. Erickson sustained a flexion and possible extension injury to his thoracolumbar spine that caused a minor compression fracture at T12. I further find that all of his physical injuries had resolved within, at the very outside, 18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Whether Mr. Erickson suffered a traumatic brain injury and, if so, its severity is far more problematical. As Dr. Jones put it in his report of September 19, 2003, "[t]his is a complicated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Erickson suffered a significant blow to the head which resulted in a 3" laceration of his left temple extending to the left frontal convexity with underlying swelling, a 2 cm compound depressed fracture to the left convexity and mid frontal area of his skull and concussion,. He was unconscious for a short time and in an altered state of consciousness for two or three days. For a considerable period of time after the accident he demonstrated the emotional and behavioural symptoms associated with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Joly reported that on the 24th and 31st days of July 2000, the results of Mr. Erickson's neurological examinations were normal. However, after his final review he concluded that the most significant injury Mr. Erickson suffered was the depressed frontal skull fracture and resulting moderate concussion which, in his opinion, had contributed to problems with memory, concentration and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his final summary, Dr. Spellacy stated that the cognitive weaknesses demonstrated by the test results and, more importantly, the continuing complaints and accounts of low drive level, poor organization, apathy, and depression were consistent with injury to the left side of the brain. However, I find it significant that, under cross-examination, when confronted with Dr. Jones' report dated June 1, 2004, he did not disagree with Dr. Jones' opinion regarding the significance of the fact that Mr. Erickson did well on the language and communication tests. At that point, as I understood him, Dr. Spellacy expressed the opinion that Mr. Erickson had suffered a "diffuse" brain injury, rather than one to his left frontal and temporal lobes.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his report, Dr. O'Braesail stated his conclusion that Mr. Erickson had suffered a moderate traumatic brain injury and has been left with permanent deficits as described in Dr. Spellacy's reports. However, under cross-examination at trial he said that what he had actually been asked to do was to conduct a psychiatric assessment of Mr. Erickson in order to determine whether he had a psychiatric problem, not whether he had suffered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is noteworthy that the opinion Dr. O'Braesail gave in his written report was based, to a considerable extent, on Mr. Erickson's description of how he felt after the accident and during the months following, whereas under cross-examination he opined that Mr. Erickson had suffered a mild (rather then moderate) traumatic brain injury with some resulting psychiatric symptoms, such as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noted above, Dr. Jones was skeptical. He identified certain "paradoxes" that left him "not totally convinced" that Mr. Erickson had actually sustained a frontal lobe brain injury. He did acknowledge, in his report of September 19, 2003, that Mr. Erickson seemed to have shortcomings in terms of his memory and personality and that he had described many of the features one would expect of someone who has suffered a traumatic head injury, he then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[Mr. Erickson's] head injury, with the depressed skull fracture and small epidural haematoma removed by Dr. Cameron, could have the potential to give rise to traumatic brain injury symtomatology.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I think it's possible he has sustained a frontal lobe brain injury, and possibly also some of the deeper structures within the temporal that are necessary for memory, I am not totally convinced based on his account of things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his second report, dated June 1, 2004, prepared after he had reviewed Dr. Spellacy's report, Dr. Jones picked up on Dr. Spellacy's observation that on formal testing, Mr. Erickson had displayed no sign of language difficulties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important since the depressed skull fracture was in the area of his "speech Centre" and this is where one would primarily expect pathology if the brain had indeed been damaged underneath the skull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I noted above, under cross-examination Dr. Spellacy allowed that he could not disagree with Dr. Jones'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second report, Dr. Jones also stated that if one accepts Dr. Spellacy's thesis that prior to the accident Mr. Erickson was a normal functioning, well-adjusted young man, then it would seem that there has been a change for the worse that could relate to a traumatic brain injury. However, he said that on the basis of the available objective data he thought that the duration of Mr. Erickson's post-traumatic amnesia was very short (not days as Mr. Erickson maintained) and that, in terms of that parameter, he had suffered a mild or at the most moderate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Jones then opined that Mr. Erickson might have had a post-concussion syndrome, and that for weeks and months he might have had many of the problems he described "on a genuine traumatic basis." He went on to say that, while following such an injury there is usually a "normal transition" to full recovery, there is a small subset of patients who continue to be symptomatic for months and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test is whether, on a balance of probabilities, the plaintiff has established his case that he suffered a mild traumatic brain injury. I find that the evidence does not support Dr. Spellacy's so-called "thesis" that Mr. Erickson was "a normal functioning, well-adjusted young man prior to the accident" (about which I shall have more to say later). I prefer the opinions of Dr. Jones and, on the evidence as a whole, I have concluded that Mr. Erickson either sustained a mild traumatic brain injury, or, alternatively, that he is one of that small subset of patients who continue to suffer the effects of post-concussion syndrome for an indefinite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my view, it makes no difference so far as an award of non-pecuniary damages is concerned. In either event, I find that he has been left with only a relatively minor, unresolved, problem with his short term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Under this head of damages the plaintiff seeks an award of $180,000.00. The defendant submits that an appropriate award is in the range of $75,000.00 to $80,000.00. Having reviewed the evidence, considered the authorities referred to by counsel in support of their respective positions and compared the injuries and loss of enjoyment of life suffered by the plaintiffs in those cases with those suffered by Mr. Erickson, I have concluded that the proper award of non-pecuniary damages in this case is the sum of $110,000.00.</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and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Mr. Erickson has claimed damages for both past and future loss of income, however, at trial his counsel made it clear that his real claim is for loss or diminishment of his capacity to earn income. Accordingly, as Southin J.A. stated in Earnshaw v. Despins et al. </w:t>
      </w:r>
      <w:hyperlink r:id="rId44"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(B.C.C.A.), the true questions to be addressed are: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Erickson's earning capacity been impaired to any degree by his injuries?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light of all the evidence should be awarded for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Derek Nordin, a well-respected Vocational Rehabilitation Consultant, provided a report in which he observed that Mr. Erickson had a difficult time returning to the competitive workforce after the accident, and concluded that all of the problems Mr. Erickson had described - difficulty learning on the job, planning and organizing his activity, and getting along with supervisors and co-workers - were likely attributable to "the brain injury." He said that in his experience, Mr. Erickson's post accident work experience "is typical of many individuals with traumatic brain injury, particularly those with frontal lobe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Erickson's first job after the accident was at the Super Store. He told Mr. Nordin that he left that job after one month because he had difficulty with being on his feet throughout his shift - that it caused his back to ache - and that he had difficulty learning on the job. However, I accept Ms. Popham's testimony that she never saw him have difficulty with lifting or standing. As to difficulties learning the job, Mr. Erickson knew that his job was not in jeopardy and, according to Ms. Popham, he was not the only one who required extra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Erickson told Mr. Nordin that he dropped out of the bartending course at Malaspina College because he was failing. At trial, the only evidence was Mr. Erickson's own testimony that soon after the course started it became clear to him that he was unable to retain in his mind enough of the course material and instructions to pass the exams. So, feeling frustrated, he quit. That I accept as being consistent with a short term memory problem but, as is the case with his back injury, I found that Mr. Erickson has a pronounced tendency to maximize his cognitive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Erickson told Mr. Nordin that he quit his job at RMH Telecommunications because he was unable to perform the work. He also told him that he had difficulty sitting through his shift and that, after one week on the job, he had forgotten all that he had learned in two weeks of training. I appreciate that his supervisor testified that Mr. Erickson had trouble comprehending the call procedure and that he failed to remember pricing plans. But he was not fired; he left by choice after asking Ms. Aroch whether he could use her as a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Nordin also found that Mr. Erickson was "quite bright" and that his "academic difficulties" were largely related to his family problems. He noted that Mr. Erickson had expressed an interest in college level academics, and felt that he had the intellectual capacity to easily complete his Grade 12 and gone on "to complete a university education or more." He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extent of [Mr. Erickson's] cognitive dysfunction (memory problems, difficulties with verbal learning and recall, disinhibition, easily angered, lack of insight into his cognitive difficulties, and fatigue), as well as his spinal symptoms/complaints, Mr. Erickson is very unlikely to be able to obtain and maintain competitive employment.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am unable to accept Mr. Nordin's conclusions. First, as I stated earlier, I find that the principal reason for Mr. Erickson's poor academic performance was that he had no real interest in obtaining a formal education. His achievements in the Art classes show that he could do well when he wanted to. However, his school records are replete with references to slow work, failure to complete assignments, and disruptive behavior. His truancy rate was very high and his grades were, generally speaking, very poor. I find it significant that none of his problems was due to a lack of intelligence or ability. Clearly, he had an "attitude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Second, I find that at the time of the accident his attitude and lack of motivation had not altered. He had demonstrated no purposeful interest in upgrading his education. In my view, had he not been injured, Mr. Erickson would have continued working part-time for Pacific Shores, or some other telemarketing company, for the foreseeable future. He liked the job and he was good 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Third, the evidence relating to Mr. Erickson's employment history, both before and after the accident, does not, in my view, support Mr. Nordin's assumption that the difficulties he experienced while learning on the job (planning and organizing his activities, and getting along with supervisors and co-workers) were attributable to a brain injury. I recall no evidence of an inability on his part to get along with his supervisors or co-workers and, as to planning and organizing, he had a number of well-documented pre-accident problems including a marked lack of concentration and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Even before the accident his lack of interest in getting ahead financially was evident. While working for Central Drugs, he was unhappy about the heavy month-end work load, when he had to do a lot of driving, and said that he found it "really tough". He quit that job despite the fact that, as he acknowledged at trial, he could probably have stayed on full time if he had wanted to. Even at Pacific Shores, a job he liked, he was often late for his work shifts or missed them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accept Dr. Jones' opinion that Mr. Erickson is now seeking to attribute all of his pre-existing problems to his head injury, and I find that Mr. Erickson's real problem continues to be a lack of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assessing Mr. Erickson's pre-injury employability potential, Mr. Nordin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upgrading his education, I could have foreseen Mr. Erickson continuing to work in customer service and/or other sales related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On the evidence I find that there has been no impairment of Mr. Erickson's earning capacity. I am satisfied that, should his attitude change, he remains quite capable of obtaining Grade 12 equivalency. That is up to him. But, I see no reasonable possibility that had the accident not occurred he would have upgraded his education and thus his earning capacity beyond that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Therefore, there will be no award for loss or diminishment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 has admitted that over the 40 week period prior to the accident Mr. Erickson earned gross wages amounting to $8,986.31. Furthermore, as Mr. Hornquist pointed out in argument, in his 2000 Income Tax Return Mr. Erickson reported that his total income for the year was $6,927.00. Although it was not made clear at trial, I presume that was what he earned while working part-time at Pacific Shores during the period January 1 to July 17,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the basis of those two amounts, it appears that Mr. Erickson's gross earnings, prior to the accident, were in the region of $1,000.00 per moth.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have already stated my conclusion that the period of Mr. Erickson's physical disability ended, at the latest, 18 months after the accident. I find that from that point onwards he was able to work, and I do not accept as valid the reasons he gave for leaving the part-time jobs he obtained at Super Store, RMH and Wal-Mart, at each of which he could have earned as much as he was making at Pacific Shores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award Mr. Erickson the sum of $18,000.00 for past loss of wages, from which amount must be deducted any Part VII benefits he has received and (subject to any submission to the contrary) the income of $2,013.00 set out in the Notice of Assessment issued with respect to his 2001 tax year (Ex. 2, Tab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parties have agreed upon a special damage award in the amount of $715.00.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Seat Belt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Here, the onus rests on the defendant to establish, on a balance of probabilities, that the plaintiff was not wearing a seat belt at the time of the accident and that, if he had been wearing one, the injuries he suffered would either have been prevented or been less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evidence given by the occupants of the vehicle is inconclusive. Mr. Erickson was unable to say whether or not he was wearing the seat belt provided in the vehicle. The defendant, on her examination for discovery, testified that it was her practice when driving with an intoxicated person in her car to ensure that they are wearing their seat belt. She said that when leaving the lake area she made sure that everyone, including Mr. Erickson, was wearing a seat belt. She said that she did not see the Plaintiff unfasten his, but acknowledged that, because it was dark and she had her eyes on the road, she is unable to say with certainty whether or not he was wearing it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Dorset said that after getting into the vehicle he fastened his own seat belt, but he said nothing about Mr. Erickson.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Miss Dickinson testified that when they got into the vehicle she told Mr. Erickson to fasten his seat belt, but she cannot recall whether or not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Two accident reconstruction experts gave conflicting opinions on this issue. The Defendant filed a report prepared by Mr. G.T.K. Harper, P. Eng. of Baker Materials Engineering Ltd., a duly qualified accident reconstruction analyst. In his report Mr. Harper opined that the Plaintiff was not restrained by a seatbelt at the time of the accident, and that had he been so restrained and seated normally, with his seat at or near its rear position, he would not have struck the dashboard or windshield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arriving at those conclusions Mr. Harper reviewed a number of documents including: a report to ICBC prepared by one of its claims adjusters; statements made by the Plaintiff, Mr. Dorset, Miss Dickinson and Miss Webber; and a medical report prepared by Dr. G.S. Cameron, who testified at the trial. He also examined vehicle and the site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Harper stated in his report that the Defendant was negotiating a right hand curve in the road when she lost control. He said that the vehicle went into a clockwise yaw and off the road before going head-on into an embankment whereupon it "ramped up" into a tree. Based upon his analysis of the damage to the vehicle he concluded that its speed at impact was in the range of 45 to 50 kph. According to Mr. Harper's field notes, the point of impact was at the front right of the vehicle and in his report he stated that there was direct contact between the vehicle and the tree from the right corner to a point 33 cm left of the centre of the front bumper. There was no significant damage to the left 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Harper made note of a "large star fracture" at or near the centre of the windshield that had light brown hair embedded in the glass. There was also brown hair in the broken dash panel on the right side of the instrument cluster housing as wells as blood stains at various locations within the right front seat space and a blood stain and hairs on the right side A-pillar.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right front seat was found in the full forward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Harper opined that, upon impact, the occupants were displaced predominantly forward of their seated positions, as well as downward in response to the ramping of the front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his report, Mr. Harper stated that the front seats of the vehicle were bucket seats, and that they had lap and shoulder seatbelts with fixed position male clips and separate retractor mechanisms for the lap and shoulder webbing sections. Both the driver's and right front seat passenger's belts were functional and available. He reported that there were no loading marks on the seatbelt equipment provided for the front seat passenger (the Plaintiff) and that in an accident of this severity "it is very likely that loading marks would be found on the right front seatbelt had the belt been worn." "Notably", 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heavy loading marks were produced on the rear seat seatbelt in this accident. Also, the energy release loop on the right front seatbelt was intact, indicative of the absence of loading by the occupant during this accident. ... There was no gross intrusion or damage into the right front seat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This evidence, he opined, "indicates that Mr. Erickson was not restrained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Harper went on to state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clear how Mr. Erickson sustained the head impact. He may have been out of position to his left either because he leaned that way or was displaced to his left as the vehicle went into yaw. From this position, he may have been thrown forward into the windshield and dash area. Alternatively, the windshield impact impacts might be associated with the unrestrained left rear occupant (Mr. Dorset), or possibly the driver. We have hair samples taken from the windshield and dash that might be used for DNA analysis to determine if Mr. Erickson or another occupant produced the damage associated with those samples.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effectiveness of lap and shoulder seatbelt restraint in this accident is a function of seat position. With the seat full forward, as it was found, Mr. Erickson could contact his head to the windshield and possibly the upper dash. From a normally seated position and with the seat well rearward, the seatbelt should have held Mr. Erickson in an upright position prior to impact, and should have prevented head implants to the windshield or dash.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Following the accident, Mr. Dorset gave a statement in which he stated, in part, "I did strike my head on something as I have glass in my hair under the skin of my head". Under cross-examination, Mr. Harper conceded that Mr. Dorset's statement is significant and that it appears that, upon impact, Mr. Dorset went forward, between the two front seats, and caused the star fracture in the middle of the windshield. When asked why he had made no reference in his report to a long, blonde hair that was found in the star fracture in the windshield, his response was that, before preparing his report, he was advised that it probably belonged to the driver, Miss Webber. He agreed that he did not know the colour of Mr. Dorsett's hair, and that no DNA testing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Under cross-examination Mr. Harper also acknowledged that whether the Plaintiff's head could have hit the windshield would depend upon his pre-impact position of which, of course, he has no direct knowledge. Under cross-examination, Mr. Harper agreed with the suggestion that, upon leaving the road, Miss Webber's vehicle went down a shallow depression before traveling on to where it came into contact with the embankment and the tree. In his view, that would have had a "slight effect" on the passengers, "lightening" them in their seats. When it was suggested to him that when the vehicle left the road and veered to the right, Mr. Erickson's body would have moved to the left causing him to slip out of the shoulder portion of the seatbelt, Mr. Harper said that he considered that unlikely if Mr. Erickson was sitting upright, was alert and able to brace himself against the impact. However, he agreed that, absent those factors, there would be an increased chance of him coming out of the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Amrit Toor, a professional forensic engineer who specializes in accident reconstruction and analysis, also provided a report and was called by the Plaintiff as a rebuttal witness. Mr. Toor was critical of Mr. Harper's analysis and in his report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Baker report indicates that the seatbelt should have held the front right occupant in an upright position prior to impact and prevented head impacts with the vehicle interior. However, this assumption is only valid if there were no pre-impact yaw or rotation as the vehicle left he road, and there were no vertical drops and the vehicle travelled to its final impact on a near level surface. In this case the Webber vehicle collision does not meet the ideal collision criteria considered by the Baker report and therefore the comments and opinions expressed by the Baker report are not applicable to the circumstances of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Toor explained that he was unable to do a proper seat belt analysis himself because Mr. Harper's report was not up to current standards. However, when asked about the lack of loading marks, he said that the absence of such marks is no more an indication that a seatbelt has not been used than their presence means that it has been used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Toor is of the opinion that it is more likely than not that the Plaintiff was wearing a seatbelt at the time of the accident and that when the vehicle left the road and went down the shallow depression:</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yaw to the right followed by the slight decline, the Plaintiff's upper torso moved to the left and came out of the shoulder portion of the seatbelt; with the result that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when the vehicle collided with the tree he was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restrained only by the lap portion of the belt; and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upper torso flexed forward causing his head to come into contact with both the A-pillar and the corner of the dash.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That opinion fits the following medical evidence: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Dr. Ellis testified, the nature of the compression fracture sustained by Mr. Erickson corresponds with the type of fracture suffered by persons wearing lap belts alone;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surgery performed at the Victoria General Hospital, Dr. Cameron removed from the damaged area of Mr. Erickson's skull "a foreign body, 2 centimetres in size, black, either plastic or glass, possibly a piece of the rear view mirror imbedded in the skull". That object resembles what appears, in one of the photographs taken by Mr. Harper, to be a piece of black plastic missing from the top right corner of the dash.</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Erickson suffered no injuries to his knees or lower body which, according to Dr. Ellis, would be expected had his body been entirely unrestrained.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summary, I find the opinions expressed by Mr. Toor to be more in keeping than those of Mr. Harper with the circumstances of the accident (so far as they are known), and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 the evidence as a whole I find that the defendant has failed to prove, on a balance of probabilities, that the Plaintiff was not wearing a seatbelt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As requested, counsel may make arrangements to speak to the matter of costs. Otherwise, Mr. Erickson shall have his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 w:history="1">
        <w:r>
          <w:rPr>
            <w:rFonts w:ascii="arial" w:eastAsia="arial" w:hAnsi="arial" w:cs="arial"/>
            <w:b/>
            <w:bCs/>
            <w:i/>
            <w:color w:val="0077CC"/>
            <w:kern w:val="32"/>
            <w:sz w:val="28"/>
            <w:szCs w:val="32"/>
            <w:u w:val="single"/>
            <w:shd w:val="clear" w:color="auto" w:fill="FFFFFF"/>
            <w:lang w:val="en-US" w:eastAsia="en-US" w:bidi="ar-SA"/>
          </w:rPr>
          <w:t>Ewert v. Marshall, [2007] B.C.J. No. 1552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Curtis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S002414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1552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1042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807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Jeffrey George Ewert, Plaintiff, and Brenda Marshall, Patricia David, Dr. John Hogan, Holly Dirk and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2"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 w:name="Keywords_2"/>
      <w:bookmarkEnd w:id="23"/>
      <w:r>
        <w:rPr>
          <w:rFonts w:ascii="arial" w:eastAsia="arial" w:hAnsi="arial" w:cs="arial"/>
          <w:b/>
          <w:color w:val="000000"/>
          <w:sz w:val="20"/>
          <w:lang w:val="en-US" w:eastAsia="en-US" w:bidi="ar-SA"/>
        </w:rPr>
        <w:t>Civil procedure — Pleadings — Amendment of — Adding subsequent facts — After expiry of limitation period — Statement of claim — Adding new cause of action — To raise additional issues — Application by the plaintiff to amend his statement of claim — Applicant was a prisoner in the Kent Maximum Security Institution — Applicant claimed damages arising out of his medical treatment for appendicitis — Application allowed in part — Regardless of whether or not the proposed amendments to add a claim before April of 1998 constituted a new cause of action, it was not just and convenient to allow those amendments and the application to do so was denied — Amendments alleging direct liability against the Attorney General of Canada were not proper and were denied.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 w:name="Case Summary_2"/>
            <w:bookmarkEnd w:id="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amend his statement of claim -- Applicant was a prisoner in the Kent Maximum Security Institution -- Applicant claimed damages arising out of his treatment between April 24 and April 29, 1998 for a medical condition that turned out to be acute appendicitis which required emergency surgery on the morning of April 30, 1998 -- In his original statement of claim, the applicant alleged that Dr. Hogan was negligent in failing to properly diagnose his appendicitis between April 24 and April 30 -- He made a related claim against Dirk, a registered nurse, David, the Chief of Health Services at Kent Institution, and Marshall, the Warden at Kent, all of whom were alleged to be servants and employees of Her Majesty the Queen in Right of Canada and the Attorney General of Canada -- Defendants opposed the amendments sought on the grounds that the amendments raised a new cause of action beyond the limitation period, were argumentative and pled evidence rather than facts necessary to support the claim, and sought to establish a direct cause of action in tort against the Attorney General of Canada -- HELD: Application allowed in part -- Regardless of whether or not the proposed amendments to add a claim before April of 1998 constituted a new cause of action, it was not just and convenient to allow those amendments and the application to do so was denied -- Amendments which related to the duty of the Correctional Service employees to the applicant in respect to his medical care were allowed -- Amendment as to particulars of the damages claimed were allowed -- Amendments deemed to be argumentative were denied -- Amendments raising matters relating to the applicant's classification in prison were not properly part of the action -- Amendments alleging direct liability against the Attorney General of Canada were not proper and were denied.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 w:name="Counsel_2"/>
      <w:bookmarkEnd w:id="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Acting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John Hogan: S.M. Vorbrodt.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Brenda Marshall, Patricia David, Holly Dirk and the Attorney General of Canada: S. Pereira.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4" style="position:absolute;z-index:2517637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CURTIS J."/>
            <w:bookmarkEnd w:id="27"/>
            <w:r>
              <w:rPr>
                <w:rFonts w:ascii="arial" w:eastAsia="arial" w:hAnsi="arial" w:cs="arial"/>
                <w:b/>
                <w:color w:val="000000"/>
                <w:sz w:val="30"/>
                <w:lang w:val="en-US" w:eastAsia="en-US" w:bidi="ar-SA"/>
              </w:rPr>
              <w:t>CURTIS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Jeffrey Ewert has applied to amend his Statement of Claim, a copy of which, with the proposed amendments underlined is appended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Ewert is currently a prisoner in the Kent Maximum Security Institution. In an action commenced by a Writ of Summons filed April 28, 2000, Mr. Ewert claimed damages arising out of his treatment between April 24 and April 29, 1998 for a medical condition that turned out to be acute appendicitis which required an emergency appendectomy on the morning of April 30, 1998. In the original statement of claim, Mr. Ewert alleged that Dr. Hogan was negligent in failing to properly diagnose his appendicitis between April 24 and April 30. He makes a related claim against Holly Dirk, a registered nurse, Patricia David, the Chief of Health Services at Kent Institution, and Brenda Marshall, the Warden at Kent, all of whom are alleged to be servants and employees of Her Majesty the Queen in Right of Canada and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oppose the amendments sought on the grounds that the amendments: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raise a new cause of action beyond the limitation period;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argumentative and plead evidence rather than facts necessary to support the claim;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seek to establish a direct cause of action in tort against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Ewert stated during his submission that he is not seeking to establish direct liability in tort against the Crown but simply to allege the Crown's vicarious liability for torts committed by servants of the Crown in the course of their employment consistent with ss. 3(a) and 10 of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R.S.C. 1985, C-50, as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Rule 19(1)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Ewert's proposed amendments transgress this Rule in numerous instances with which I shall deal once the more substantial issue is resolved, namely the question of whether Mr. Ewert is raising a new cause of action after the limitation period and if so whether he should be permitted to do so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his proposed amendments to the Statement of Claim, Mr. Ewert seeks to expand his recovery for damages beyond a claim for failing to diagnose acute appendicitis between April 24 and 30, 1998, to failing to appropriately investigate his medical condition and diagnose appendicitis following consultation that began August 8, 1997 when he complained of lower right abdominal pain. Mr. Ewert does not seek to add any new parties in respect of this expansion of his claim and indeed it would be far too late to do so. This, however, raises a problem because as the proposed amendments make clear, in or about August of 1997 he was under the care of Dr. Murakami and continued to be so until January 1998 when he was transferred from Mountain Institution to Kent Institution and his case was assumed by Dr. Hogan. Dr. Murakami is not a party to this action, although Holly Dirk, one of the defendants did see Mr. Ewert in her capacity as a registered nurse in Mountain Institution. To prove vicarious liability for his treatment at Mountain Institution, Mr. Ewert would have to prove liability on the part of Dr. Murakami or Holly Dirk. As Dr. Murakami is not a party and cannot now be added, no claim through Dr. Murakami can be pursued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Do the new allegations expanding the time frame from April 24, 1998 and days following to August 8, 1997 at Mountain Institution in Holly Dirk's case, and January 1998 in the case of Dr. Hogan, Brenda Marshall and Patricia David at Kent Institution, and expanding the nature of the claim from failure to diagnose acute appendicitis to failure to diagnose chronic appendicitis, constitute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C. Vincent Ltd. v. Bank of Montreal</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(1992), 8 C.P.C. (3d) 83</w:t>
        </w:r>
      </w:hyperlink>
      <w:r>
        <w:rPr>
          <w:rFonts w:ascii="arial" w:eastAsia="arial" w:hAnsi="arial" w:cs="arial"/>
          <w:color w:val="000000"/>
          <w:sz w:val="20"/>
          <w:lang w:val="en-US" w:eastAsia="en-US" w:bidi="ar-SA"/>
        </w:rPr>
        <w:t xml:space="preserve"> (B.C.S.C.), Master Wilson (as he then was) found a cause of action to be: "The fact or combination of facts which give rise to a right to sue." That definition was applied by Master Joyce (as he then was) in the case of </w:t>
      </w:r>
      <w:r>
        <w:rPr>
          <w:rFonts w:ascii="arial" w:eastAsia="arial" w:hAnsi="arial" w:cs="arial"/>
          <w:b/>
          <w:i/>
          <w:color w:val="000000"/>
          <w:sz w:val="20"/>
          <w:lang w:val="en-US" w:eastAsia="en-US" w:bidi="ar-SA"/>
        </w:rPr>
        <w:t>Lewis v. McGhan Medical Corp.</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[1995] B.C.J. No. 378</w:t>
        </w:r>
      </w:hyperlink>
      <w:r>
        <w:rPr>
          <w:rFonts w:ascii="arial" w:eastAsia="arial" w:hAnsi="arial" w:cs="arial"/>
          <w:color w:val="000000"/>
          <w:sz w:val="20"/>
          <w:lang w:val="en-US" w:eastAsia="en-US" w:bidi="ar-SA"/>
        </w:rPr>
        <w:t>. At para. 21 of that decision, Master Joyce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does not mean, in my opinion, that there can be only one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defendant. In any given set of circumstances there may be more than one type of duty, each with its own standard of care. It is possible, of course that facts are alleged concerning the circumstances between the parties which, if proven, would permit a finding that more that one type of duty exists. Further, it may be that the same damages result from the defendant's breaches of different duties. But if the plaintiff fails to allege facts which, if proven, would establish a breach of the standard of care which applies to any particular duty, then a complete cause of action will not have been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doctor or nurse must allege facts supporting a breach of the standard of care in specific circumstances. It would be insufficient merely to allege that a doctor had failed to provide proper care without alleging the specific condition or circumstances in which the standard of care was not met. A plaintiff alleging that a broken leg was not properly cared for would certainly be pleading new facts and raising a new cause of action if he later alleged a stomach condition was not properly cared for. With respect to Mr. Ewert, the allegation of failure to diagnose acute appendicitis on or after April 24, 1998 is based on different factual allegations than the now proposed claim for failure to diagnose chronic appendicitis, which relies on separate facts and circumstances arising before April 24, 1998 and involves a separate standard of care. If Mr. Ewert had never developed acute appendicitis he could still, on the facts he now wishes to allege, have sued for negligent care in not finding chronic appendicitis. I conclude, therefore, that Mr. Ewert's proposed amendments to expand his claim to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earlier than originally pleaded do raise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R.S.B.C. 1996, c. 266, s. 3(2)(a) states that after the expiration of two years after the date on which the right to do so arose a person may not bring an action for damages in respect of "injury to person". This applies to claims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sort alleged by Mr. Ewert.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also provides in s.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Rule 24(1)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provides that a party may amend an originating process or pleading at any time with leave of the court. Rule 1(5)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C. Vincent Ltd. v. Bank of Montreal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it was held that Rule 1(5) supports a generous approach to the question of amendment of pleadings with the qualification that the amendment should not cause injustice to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considering an application to amend a pleading, Taylor J. in the case of </w:t>
      </w:r>
      <w:r>
        <w:rPr>
          <w:rFonts w:ascii="arial" w:eastAsia="arial" w:hAnsi="arial" w:cs="arial"/>
          <w:b/>
          <w:i/>
          <w:color w:val="000000"/>
          <w:sz w:val="20"/>
          <w:lang w:val="en-US" w:eastAsia="en-US" w:bidi="ar-SA"/>
        </w:rPr>
        <w:t>Omineca Enterprises Ltd. v. British Columbia Development Corp.</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[1999] B.C.J. No. 755</w:t>
        </w:r>
      </w:hyperlink>
      <w:r>
        <w:rPr>
          <w:rFonts w:ascii="arial" w:eastAsia="arial" w:hAnsi="arial" w:cs="arial"/>
          <w:color w:val="000000"/>
          <w:sz w:val="20"/>
          <w:lang w:val="en-US" w:eastAsia="en-US" w:bidi="ar-SA"/>
        </w:rPr>
        <w:t xml:space="preserve"> (B.C.S.C.) held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Quite apart from the limitation issues here is a further threshold that must be crossed by the plaintiff in that it must satisfy this Court that it is both "just and convenient" that the amendments be granted. A consideration of this aspect involves consideration of the length of delay in seeking the amendment, any explanations for the delay and what, if any, prejudice there will be to the defendant if the amendment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Ewert's action and his Statement of Claim were filed April 28, 2000, very close to the expiry of the limitation period. At that time, when he was represented by counsel, he did not plead the facts he now wishes to add although the circumstances were then known to him. The application to amend the pleadings was not made until May of 2007, seven years after the action was commenced. Some of that delay was understandably caused by the circumstances of Mr. Ewert being a prisoner, but that falls far short of a reasonable explanation for seven years delay. Mr. Ewert has stated that he discharged his lawyer because she declined to pursue the amendments he now proposes. While that may account for some of the delay, it does not make Mr. Ewert, who is in control of the conduct of his case, any less responsible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trial is now set for November 17, 2008 and the defendants have obtained expert opinions with respect to the events relating to the acute appendicitis. Further opinions would have to be obtained and further discovery concluded if the new allegations are to proceed to trial. There is a good chance these new proceedings would result in an adjournment of the trial date. Dr. Hogan is now in his 70s. He has found the anticipation of the trial and the allegations very stressful and wishes to get the case heard and decided. Any delay would be very prejudicial to him personally. Furthermore, Mr. Ewert has no financial means, such that there can be no compensation in costs for any extra expense or delay caused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Regardless of whether or not the proposed amendments to add a claim before April of 1998 constitute a new cause of action, I am satisfied that in the circumstances, it is not just and convenient to allow those amendments and the application to do so is denied. It is my ruling therefore that the amendments proposed in paras. 9 to 29 inclusive of the Amended Statement of Claim are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allow the amendments proposed in paras. 1, 31, 32 and 33 which relate to the duty of the Correctional Service employees owed to Mr. Ewert in respect to his medical care as well as paras. 37, 38, 39 and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addition, I allow the amendments proposed in paras. 43, 44 but not those proposed in paras. 45 and 46 as the later two are simply recitations of evidence Mr. Ewert intends to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allow the amendment proposed in para. 47 which provides particulars of the damage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deny the amendment sought in para. 48 as merely argumentative.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allow the amendments sought in paras. 49, 50, 51 and 52 but deny that sought in para. 53, which is purely argumentative.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amendments sought in paras. 54 and 55 are allowed. Paragraphs 56, 57, 58 and 59 are not allowed as they are pleadings of evidence rather than the factual basis of the claim. The evidence, of course, may, if admissible, be 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permit the amendment proposed in para. 60 insofar as it relates to the existing claim, but it will not be regarded as forming a separate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Paragraphs 61, 62, 63, 64, 65, 66, 67, 68 raise matters relating to Mr. Ewert's classification in prison and are not properly part of this action. They are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amendments proposed in paras. 71 and 72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Paragraphs 73 and 74 allege direct liability against the Attorney General of Canada and are not proper. They are denied. Paragraph 75 which alleges vicarious liability is allowed but shall be limited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named defendants in the employ of the Attorney General for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also allow the amendments proposed in paragraphs 6, 8, 30, 41, 69, 70 and 78 which appear simply to particularize Mr. Ewert's existing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Ewert shall prepare his amended Statement of Claim in accordance with these terms and supply the Court and counsel for the parties with 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CURTIS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Extra Gift Exchange Inc. v. Ernest &amp; Twins Ventures (PP) Ltd., [2007] B.C.J. No. 636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7 - 9, July 12 - 13, August 9 - 11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6 - 7,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L031802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636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477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Extra Gift Exchange Inc., Leon Lam, Richard Liquidation Sales, Plaintiffs, and Ernest &amp; Twins Ventures (PP) Ltd., Ernest Wong, Spencer Wong, Thames Realty Corporation, Rua Yam, Jim Sun, Eric Lo, Brian Collins Land Surveying Inc., Brian Collins, Pacifica First Strata Management Ltd., Ron Chan, Stanley Wong, Steven Hsieh, Edward Lau, Anna Poon, Donald Chung, Robert Yau, Siu Yean Leung Hanson Lau, John Wong, Sammy Chung, Martin Li, Billy Chui, John Lam, Michael Chuen Wai Lo, Tze Kuen Wong, Lai Bing Fung, The Owners, Strata Plan LMS3259,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3"/>
      <w:bookmarkEnd w:id="28"/>
      <w:r>
        <w:rPr>
          <w:rFonts w:ascii="arial" w:eastAsia="arial" w:hAnsi="arial" w:cs="arial"/>
          <w:b/>
          <w:color w:val="000000"/>
          <w:sz w:val="20"/>
          <w:lang w:val="en-US" w:eastAsia="en-US" w:bidi="ar-SA"/>
        </w:rPr>
        <w:t>Civil procedure — Parties — Standing — The majority of the plaintiffs' statement of claim was struck and dismissed, whereas the claims against the strata corporation and its current council members were struck with the possibility of being re-drafted — The plaintiffs did not have standing to bring the claims, and alternatively, it was plain and obvious that they would fail, as there was no arguable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Pleadings — Striking out pleadings or allegations — Failure to disclose a cause of action or defence — The majority of the plaintiffs' statement of claim was struck and dismissed, whereas the claims against the strata corporation and its current council members were struck with the possibility of being re-drafted — The plaintiffs did not have standing to bring the claims, and alternatively, it was plain and obvious that they would fail, as there was no arguable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Condominiums — Unit holders — The majority of the plaintiffs' statement of claim was struck and dismissed, whereas the claims against the strata corporation and its current council members were struck with the possibility of being re-drafted — The plaintiffs did not have standing to bring the claims, and alternatively, it was plain and obvious that they would fail, as there was no arguable issue.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3"/>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sought to strike the plaintiffs' statement of claim and to dismiss the action in its entirety -- The defendants argued the statement of claim was so prolix and confusing that it was difficult, if not impossible, for the defendants to know the claims they were to meet -- The underlying action pertained to the construction, sale, management and governance of a real estate development; the plaintiffs brought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breach of fiduciary duty, and fraudulent misrepresentation -- The question was whether giving the self-represented plaintiffs a fourth opportunity to re-draft their pleadings would amount to an abuse of process -- The defendants also argued the claims would fail as the plaintiffs (a) had no standing to bring them, and (b) the claims were without legal foundation -- HELD: All the claims were not only struck, but dismissed, save for the claims brought by the plaintiff Lam against the strata corporation and the current council members -- The plaintiffs did not have standing to bring the claims -- The plaintiff owners were not a legal entity capable of bringing claims; at the very least the lawsuits should not be commenced without the authorized support of a significant portion of the strata owners, namely 3/4 of them -- It was only the strata corporation that could make claims on behalf of the strata unit owners, and only then if properly authorized under s. 171 and s. 172 of the Strata Property Act -- An owner was not permitted to bring a derivative action on behalf of the strata corporation -- The plaintiff Lam did not have standing to bring claims as an owner given the fact that he only held a 1/100th interest in one of the strata units -- Even if Lam did have status as an owner, it was plain and obvious that the claims would fail as there was no arguable issue -- Given the complexity of the procedures involved in pleading claims of this kind, the court granted Lam one further opportunity to re-draft the pleadings for the claims which were struck but not dismissed; (1) the claims that the strata corporation failed to pursue a legal action that had been authorized by the owners, namely an action in fraudulent misrepresentation against the developers; and (2) the claims against the current strata council members -- Unless the holding company agreed to bring them, the plaintiff was without standing -- The successful defendants were awarded special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Legislation Cited_0"/>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7"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Condominium Act, R.S.B.C. 1996, c. 64,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hyperlink r:id="rId62" w:history="1">
        <w:r>
          <w:rPr>
            <w:rFonts w:ascii="arial" w:eastAsia="arial" w:hAnsi="arial" w:cs="arial"/>
            <w:i/>
            <w:color w:val="0077CC"/>
            <w:sz w:val="20"/>
            <w:u w:val="single"/>
            <w:shd w:val="clear" w:color="auto" w:fill="FFFFFF"/>
            <w:lang w:val="en-US" w:eastAsia="en-US" w:bidi="ar-SA"/>
          </w:rPr>
          <w:t>S.B.C. 1998, c. 43, s. 2</w:t>
        </w:r>
      </w:hyperlink>
      <w:r>
        <w:rPr>
          <w:rFonts w:ascii="arial" w:eastAsia="arial" w:hAnsi="arial" w:cs="arial"/>
          <w:color w:val="000000"/>
          <w:sz w:val="20"/>
          <w:lang w:val="en-US" w:eastAsia="en-US" w:bidi="ar-SA"/>
        </w:rPr>
        <w:t>(b), s. 147, s. 148, s. 164, s. 165, s. 171, s. 172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 w:name="Counsel_3"/>
      <w:bookmarkEnd w:id="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8"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 Lam Appearing On His Own Behalf And On Behalf Of The Other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Ernest and Twins Ventures (PP) Ltd., Ernest Wong, Spencer Wong, Thames Realty Corporation, Rua Lam, Jim Sun, Eric Lo, Steven Hsieh, Edward Lau, Robert Yau, and Anna Poon: J.C. McKechnie.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Donald Chung, Hanson Lau, John Wong, Sammy Chung, Martin Li, Billy Chui, John Lam, and The Owners, Strata Plan LMSS 3259: R.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Ron Chan and Stanley Wong: D.K. Plunkett.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 w:name="Judgment_3"/>
      <w:bookmarkEnd w:id="32"/>
      <w:r>
        <w:pict>
          <v:line id="_x0000_s1049"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 w:name="SINCLAIR PROWSE J."/>
            <w:bookmarkEnd w:id="33"/>
            <w:r>
              <w:rPr>
                <w:rFonts w:ascii="arial" w:eastAsia="arial" w:hAnsi="arial" w:cs="arial"/>
                <w:b/>
                <w:color w:val="000000"/>
                <w:sz w:val="30"/>
                <w:lang w:val="en-US" w:eastAsia="en-US" w:bidi="ar-SA"/>
              </w:rPr>
              <w:t>SINCLAIR PROWSE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NATURE OF THE PROCEEDINGS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Rule 19(24) application, the Defendants seek to strike the Plaintiffs' Statement of Claim and to dismiss the action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Statement of Claim is 59 pages long (including Schedule A, which is 8 pages) and is composed of 112 numbered paragraphs. It is so prolix and confusing that it is difficult, if not impossible, for the Defendants to know the claims that they are to meet. Given this situation, and the fact the Plaintiffs are representing themselves, the focus of this hearing (and these Reasons, for that matter) was to determine whether this was a situation of inadequate drafting (that is, a situation in which there are sustainable claims, albeit badly drafted) or whether this is a situation in which the claims are not legally sustainable (that is, they do not raise an arguable issue). The situation was further complicated by the fact that this is, for all practical purposes, the Plaintiffs' third attempt to draft proper pleadings. A determination therefore had to be made as to whether a further opportunity to redraft constituted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pertains to the construction, sale, management, and governance of the development known as Pacific Plaza, located in Richmond,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Leon Lam owns a 1/100th interest in one of the strata units in Pacific Plaza. The Plaintiff Extra Gift Exchange Inc. ("Extra Gift") rents 2 strata units in this development. One of the units is wholly owned by Sze Hang Holdings Inc. ("Sze Hang Holdings"), and the second one is owned jointly by Sze Hang Holdings and Mr. Lam. (Sze Hang Holdings owns a 99% interest in this second unit, while Mr. Lam owns the remaining 1%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Lam is the president and sole shareholder of Extra Gift. He and Extra Gift jointly carry on business as the Plaintiff, Richmond Liquidation Sales ("Richmond Liquidation"), from the strata units rented by Extra Gift. Sze Hang Holdings is not a party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to these Plaintiffs, as is set out in the Prayer for Relief in the Statement of Claim, and as Mr. Lam clarified during this hearing, these claims were also brought on behalf of all of the owners (past and present) of strata units in Pacific Plaza (the "Owners") and on behalf of the strata corporation of Pacific Plaza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Though Mr. Lam submitted, as this lengthy hearing was drawing to a close, that the Plaintiffs were no longer pursuing claims brought on behalf of the Strata Corporation, I nevertheless addressed these claims in these Reasons as if 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had maintained them because this submission was inconsistent with most of Mr. Lam's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 respect to the identification of the Defendants, for convenience I categorized the Defendants into the various groups against whom the claims are made. (For example, the Developers, the Former Strata Council Members, the Realty Company, etc.). Some of the personal Defendants are in more than one group as a result of the various roles that they have played in Pacific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Ernest and Twins Ventures (PP) Ltd. is the company that developed Pacific Plaza; the Defendants Ernest Wong and Spencer Wong are two of its principals; and the Defendants Rua Yam, Eric Lo, Anna Poon, and Jim Sun are four of its employees. These Defendants are referred to collectively as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Thames Realty Corporation is the realty company that marketed and sold the strata units on behalf of the Developers; the Defendants Rua Yam, Eric Lo are two of its principals; and the Defendant Jim Sun is one of its employees. They are referred to collectively as the "Realty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Pacifica First Strata Management Ltd. is the company that managed Pacific Plaza until the fall of 2001, and the Defendants Ron Chan and Stanley Wong are two of its principals. They are collectively referred to as "Pacifica".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Rua Yam, Jim Sun, Eric Lo, Steven Hsieh, Edward Lau, Anna Poon, Donald Chung, Robert Yau, and Siu Yean Leung were strata council members during the period extending from 1998 (when Pacific Plaza was completed) until July 2002. They are collectively referred to as the "Former Strata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Hanson Lau, Donald Chung, John Wong, Sammy Chung, Martin Li, Billy Chui, and John Lam were strata council members during the period extending from July 2002 until the present. They are collectively referred to as the "Current Strata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Tze Kuen Wong and Lai Bing Fung are the original owners of the strata unit in which Mr. Lam now owns 1% interest, and the Defendant Michael Chuen Wai Lo is the personal representative of Mr. Wong and Mr. Fung. These Defendants are collectively referred to as the "Original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Though the Strata Corporation was included as an unnamed Plaintiff, it was also named as a Defendant - namely, the Defendant The Owners, Strata Plan LMS3259. In these Reasons, I dealt with it as both a Plaintiff and as a Defendant. That is, I addressed the claims brought on its behalf, as well as the claims brought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also include Brian Collins Land Surveying Inc. and Brian Collins. During the course of this hearing, the Plaintiffs abandoned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claims had already been dismissed in another action brought by Mr. Lam). Given the circumstances, these claims are not only struck, they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19(24)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There is no dispute that pursuant to this Rule, pleadings that are so prolix and confusing that it is difficult, if not impossible, to understand the case to be met, should be struck: </w:t>
      </w:r>
      <w:r>
        <w:rPr>
          <w:rFonts w:ascii="arial" w:eastAsia="arial" w:hAnsi="arial" w:cs="arial"/>
          <w:b/>
          <w:i/>
          <w:color w:val="000000"/>
          <w:sz w:val="20"/>
          <w:lang w:val="en-US" w:eastAsia="en-US" w:bidi="ar-SA"/>
        </w:rPr>
        <w:t>Gittings v. Caneco Audio-Publishers Inc.</w:t>
      </w:r>
      <w:hyperlink r:id="rId63"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(S.C.). If causes of action are not properly pleaded, it is impossible for a defendant to know the case that he/she/it has to meet: </w:t>
      </w:r>
      <w:r>
        <w:rPr>
          <w:rFonts w:ascii="arial" w:eastAsia="arial" w:hAnsi="arial" w:cs="arial"/>
          <w:b/>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Applying this principle to the present case, the issue is not whether the pleadings should be struck. (As was set out at the beginning of these Reasons, 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Statement of Claim is so prolix and confusing that it is difficult, if not impossible, for the Defendants to know the claims that they are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Rather, the issue is whether the pleadings should not only be struck, but whether the action should also be dismissed. (This is the relief sought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the pleadings pertaining to a claim are struck but the claim is not dismissed, the Plaintiffs will have the opportunity to redraft that claim and proceed with the redrafted pleadings. If, on the other hand, the pleadings are struck and the claim is dismissed, that is the end of the action based on that claim; it cannot be redrafted and re-filed.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Generally, the remedy of striking a pleading and dismissing a claim is limited to situations in which it is plain and obvious that the claim cannot succeed because it does not raise an arguable issue: </w:t>
      </w:r>
      <w:r>
        <w:rPr>
          <w:rFonts w:ascii="arial" w:eastAsia="arial" w:hAnsi="arial" w:cs="arial"/>
          <w:b/>
          <w:i/>
          <w:color w:val="000000"/>
          <w:sz w:val="20"/>
          <w:lang w:val="en-US" w:eastAsia="en-US" w:bidi="ar-SA"/>
        </w:rPr>
        <w:t>Braun Investment Group Inc. v. Emco Investment Corp.</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(1984), 58 B.C.L.R. 396</w:t>
        </w:r>
      </w:hyperlink>
      <w:r>
        <w:rPr>
          <w:rFonts w:ascii="arial" w:eastAsia="arial" w:hAnsi="arial" w:cs="arial"/>
          <w:color w:val="000000"/>
          <w:sz w:val="20"/>
          <w:lang w:val="en-US" w:eastAsia="en-US" w:bidi="ar-SA"/>
        </w:rPr>
        <w:t xml:space="preserve"> (S.C.), aff'd on appeal </w:t>
      </w:r>
      <w:hyperlink r:id="rId66" w:history="1">
        <w:r>
          <w:rPr>
            <w:rFonts w:ascii="arial" w:eastAsia="arial" w:hAnsi="arial" w:cs="arial"/>
            <w:i/>
            <w:color w:val="0077CC"/>
            <w:sz w:val="20"/>
            <w:u w:val="single"/>
            <w:shd w:val="clear" w:color="auto" w:fill="FFFFFF"/>
            <w:lang w:val="en-US" w:eastAsia="en-US" w:bidi="ar-SA"/>
          </w:rPr>
          <w:t>(1985), 67 B.C.L.R. 247</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The fact that the matter is obscure, either by reason of fact or law, is not, by itself, a basis on which to strike a pleading and dismiss a claim. Rather, it is only if there is no arguable issue that the claim will be dismissed: </w:t>
      </w:r>
      <w:r>
        <w:rPr>
          <w:rFonts w:ascii="arial" w:eastAsia="arial" w:hAnsi="arial" w:cs="arial"/>
          <w:b/>
          <w:i/>
          <w:color w:val="000000"/>
          <w:sz w:val="20"/>
          <w:lang w:val="en-US" w:eastAsia="en-US" w:bidi="ar-SA"/>
        </w:rPr>
        <w:t>Braun Investment</w:t>
      </w:r>
      <w:r>
        <w:rPr>
          <w:rFonts w:ascii="arial" w:eastAsia="arial" w:hAnsi="arial" w:cs="arial"/>
          <w:color w:val="000000"/>
          <w:sz w:val="20"/>
          <w:lang w:val="en-US" w:eastAsia="en-US" w:bidi="ar-SA"/>
        </w:rPr>
        <w:t>. In other words, this remedy is generally restricted to situations in which there is no point to redrafting the pleadings because the proposed claim (regardless of how it is drafted) is without legal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on this basis (that is, that there is no arguable issue) that the Defendants contend that most, if not all, of the Plaintiffs' claims should be dismissed. The Defendants contend that because the Plaintiffs have had 3 previous opportunities to properly draft the pleadings, to grant them a further opportunity would constitute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Consequently, the issues in this application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if any, of the Plaintiffs' claims should be dismissed as it is plain and obvious that they cannot succeed;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if any, of the Plaintiffs' claims should be dismissed because it would be an abuse of process to permit the Plaintiffs to redraft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To make the necessary determinations raised in this application, it is essential to have some understanding of the general context in which these proposed claims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construction of Pacific Plaza began in 1996 and was completed in 1998. It is a wholesale industrial development rather than a commercial retail development. It is composed of 265 units, these units falling into 3 distinct categories - namely, 190 units are for business use, 73 units are for parking, and 2 units are for signage.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Four years later, in August 2002, Mr. Lam became an owner in Pacific Plaza to the extent that he purchased a 1/100th interest in one of the strata units owned by Sze Hang Holdings. (Sze Hang Holdings was not the original owner of the two strata units that it purchased, rather, it was the second or possibly the third owner). Prior to acquiring his ownership interest, Mr. Lam operated his business from the units owned by Sze Hang Holdings. He was also actively involved in Pacific Plaza's strata council (the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For example, in August 2001, Mr. Lam and Extra Gift commenced an action against the Developers and the Former Strata Council Members, seeking damages arising from fraudulent acts, conspiracy, and mismanagement (including the use of "illegal" formulas to calculate the strata fees). In September 2001, Mr. Justice Thackray struck the Statement of Claim in this action and granted Mr. Lam 60 days to redraft and re-file it. At that time, Mr. Justice Thackray advised Mr. Lam to seek the assistance of counsel before deciding to redraft the pleadings and continue with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October 2001, a special general meeting of Pacific Plaza strata unit owners was held and the members of the Strata Council were replaced. These former members of the Strata Council petitioned the Court for a declaration that they had been improperly removed from office. Mr. Lam cross-petitioned for a declaration that they had been properly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November 2001, Madam Justice Loo granted the relief sought by Mr. Lam. In other words, Madam Justice Loo dismissed the petition of these former Strata Council members; confirmed that the proper procedures had been followed; and confirmed the validity of the then present Strata Council. In March 2002, Mr. Lam was elected as a member of the Strata Council and appointed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Approximately four months later, in mid-July 2002, Mr. Lam was removed as president by the other Strata Council members, but he remained on the Strata Council. (It was also in July 2002 that Mr. Lam acquired his 1% ownership interest in a strata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October 2002, a special general meeting of the Strata Council was held and Mr. Lam was removed from the Strata Council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November 2002, Mr. Lam commenced an action against the Strata Corporation, Pacifica, and some of the former members of the Strata Council. In that action, Mr. Lam alleged various forms of misconduct, including that he had been improperly removed from the Strata Council. He also brought claims against the Strata Corporation for alleged wrongful acts committed by the Developers. In April 2003, Mr. Justice Melvin dismissed these claims and ordered special costs against Mr. Lam. (In the course of its Reasons, the Court clarified that the Strata Corporation could be found liable for the wrongful acts of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June 2003, Mr. Lam, Extra Gift and Richmond Liquidation commenced an action against the same Defendants as are named in the present action, including Brian Collins Land Surveying Inc. and Brian Collins. The claims made in that Statement of Claim are basically the same as the claims made in the present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that action, Mr. Justice Shabbits not only struck the claims against Mr. Collins and his surveying company, he also dismissed them. As far as the remaining claims were concerned, Mr. Justice Shabbits struck them; granted the Plaintiffs leave to redraft the pleadings; refused the Defendants' application to dismiss the action; and refused the Defendants' application to have Mr. Lam declared a vexatious litigant. In his Reasons for Judgment, Mr. Justice Shabbits (as Mr. Justice Thackray had done in September 2001) urged Mr. Lam to seek legal advice to assist with the redrafting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November 2005, the Plaintiffs filed the present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ANALYSIS AND 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was set out earlier in these Reasons, the issues in this application are: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if any, of the Plaintiffs' claims should be dismissed as it is plain and obvious that they cannot succeed;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if any, of the Plaintiffs' claims should be dismissed because it would be an abuse of process to permit the Plaintiffs to redraft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claims are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breach of statutory duty, breach of fiduciary duty, and fraudulent misrepresentation. They pertain to the construction of Pacific Plaza and the management of the Strata Corporation. They cover the period extending from November 1996 (when the application for the development permit was made)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particular, the claims pertain to the manner in which the Developers constructed Pacific Plaza; the manner in which the Developers and/or the Realty Company marketed and sold the strata units (and in particular, the manner in which they represented the type of development to the eventual owners); the manner in which Pacifica managed Pacific Plaza; and the manner in which the Former Strata Council Members and the Current Strata Council Members managed the affairs of the Strata Corporation, including the manner in which they have pursued or failed to pursue legal action on behalf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was touched upon earlier, in addition to the named Plaintiffs, the claims in the Statement of Claim are also brought on behalf of the Owners and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Defendants submit that with respect to most, if not all, of these claims, it is plain and obvious that they will fail because they are not actionable: </w:t>
      </w:r>
      <w:r>
        <w:rPr>
          <w:rFonts w:ascii="arial" w:eastAsia="arial" w:hAnsi="arial" w:cs="arial"/>
          <w:b/>
          <w:i/>
          <w:color w:val="000000"/>
          <w:sz w:val="20"/>
          <w:lang w:val="en-US" w:eastAsia="en-US" w:bidi="ar-SA"/>
        </w:rPr>
        <w:t>Lang Michener Lash Johnston v. Fabian</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(O.H.C.J.) and </w:t>
      </w:r>
      <w:r>
        <w:rPr>
          <w:rFonts w:ascii="arial" w:eastAsia="arial" w:hAnsi="arial" w:cs="arial"/>
          <w:b/>
          <w:i/>
          <w:color w:val="000000"/>
          <w:sz w:val="20"/>
          <w:lang w:val="en-US" w:eastAsia="en-US" w:bidi="ar-SA"/>
        </w:rPr>
        <w:t>Hoban v. Draymond</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[1996] B.C.J. No. 2506</w:t>
        </w:r>
      </w:hyperlink>
      <w:r>
        <w:rPr>
          <w:rFonts w:ascii="arial" w:eastAsia="arial" w:hAnsi="arial" w:cs="arial"/>
          <w:color w:val="000000"/>
          <w:sz w:val="20"/>
          <w:lang w:val="en-US" w:eastAsia="en-US" w:bidi="ar-SA"/>
        </w:rPr>
        <w:t xml:space="preserve"> (S.C.); they are frivolous or vexatious: </w:t>
      </w:r>
      <w:r>
        <w:rPr>
          <w:rFonts w:ascii="arial" w:eastAsia="arial" w:hAnsi="arial" w:cs="arial"/>
          <w:b/>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2000 BCSC 28</w:t>
        </w:r>
      </w:hyperlink>
      <w:r>
        <w:rPr>
          <w:rFonts w:ascii="arial" w:eastAsia="arial" w:hAnsi="arial" w:cs="arial"/>
          <w:color w:val="000000"/>
          <w:sz w:val="20"/>
          <w:lang w:val="en-US" w:eastAsia="en-US" w:bidi="ar-SA"/>
        </w:rPr>
        <w:t xml:space="preserve">; they may prejudice, embarrass or delay: </w:t>
      </w:r>
      <w:r>
        <w:rPr>
          <w:rFonts w:ascii="arial" w:eastAsia="arial" w:hAnsi="arial" w:cs="arial"/>
          <w:b/>
          <w:i/>
          <w:color w:val="000000"/>
          <w:sz w:val="20"/>
          <w:lang w:val="en-US" w:eastAsia="en-US" w:bidi="ar-SA"/>
        </w:rPr>
        <w:t>Keddie v. Dumas Hotels Ltd. (c.o.b. Cariboo Trail Hotel)</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(C.A.), quoting with approval from </w:t>
      </w:r>
      <w:r>
        <w:rPr>
          <w:rFonts w:ascii="arial" w:eastAsia="arial" w:hAnsi="arial" w:cs="arial"/>
          <w:b/>
          <w:i/>
          <w:color w:val="000000"/>
          <w:sz w:val="20"/>
          <w:lang w:val="en-US" w:eastAsia="en-US" w:bidi="ar-SA"/>
        </w:rPr>
        <w:t>Mayor of London v. Herner</w:t>
      </w:r>
      <w:r>
        <w:rPr>
          <w:rFonts w:ascii="arial" w:eastAsia="arial" w:hAnsi="arial" w:cs="arial"/>
          <w:color w:val="000000"/>
          <w:sz w:val="20"/>
          <w:lang w:val="en-US" w:eastAsia="en-US" w:bidi="ar-SA"/>
        </w:rPr>
        <w:t xml:space="preserve"> (1914), 111 L.T. 512 (see also </w:t>
      </w:r>
      <w:r>
        <w:rPr>
          <w:rFonts w:ascii="arial" w:eastAsia="arial" w:hAnsi="arial" w:cs="arial"/>
          <w:b/>
          <w:i/>
          <w:color w:val="000000"/>
          <w:sz w:val="20"/>
          <w:lang w:val="en-US" w:eastAsia="en-US" w:bidi="ar-SA"/>
        </w:rPr>
        <w:t>Mahoney v. Coca Cola Ltd.</w:t>
      </w:r>
      <w:r>
        <w:rPr>
          <w:rFonts w:ascii="arial" w:eastAsia="arial" w:hAnsi="arial" w:cs="arial"/>
          <w:color w:val="000000"/>
          <w:sz w:val="20"/>
          <w:lang w:val="en-US" w:eastAsia="en-US" w:bidi="ar-SA"/>
        </w:rPr>
        <w:t xml:space="preserve"> (21 February 1976), Vancouver 1612/64 (B.C.S.C.) and </w:t>
      </w:r>
      <w:r>
        <w:rPr>
          <w:rFonts w:ascii="arial" w:eastAsia="arial" w:hAnsi="arial" w:cs="arial"/>
          <w:b/>
          <w:i/>
          <w:color w:val="000000"/>
          <w:sz w:val="20"/>
          <w:lang w:val="en-US" w:eastAsia="en-US" w:bidi="ar-SA"/>
        </w:rPr>
        <w:t>Maddison v. Donald H. Bain Ltd.</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(1928), 39 B.C.R. 460</w:t>
        </w:r>
      </w:hyperlink>
      <w:r>
        <w:rPr>
          <w:rFonts w:ascii="arial" w:eastAsia="arial" w:hAnsi="arial" w:cs="arial"/>
          <w:color w:val="000000"/>
          <w:sz w:val="20"/>
          <w:lang w:val="en-US" w:eastAsia="en-US" w:bidi="ar-SA"/>
        </w:rPr>
        <w:t xml:space="preserve"> (C.A.)); and/or they are otherwise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Further, the Defendants argue that most, if not all, of the Plaintiffs' claims will fail because the Plaintiffs do not have standing to bring them; because the claims are without legal foundation; and/or because the claims are barred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by </w:t>
      </w:r>
      <w:r>
        <w:rPr>
          <w:rFonts w:ascii="arial" w:eastAsia="arial" w:hAnsi="arial" w:cs="arial"/>
          <w:i/>
          <w:color w:val="000000"/>
          <w:sz w:val="20"/>
          <w:lang w:val="en-US" w:eastAsia="en-US" w:bidi="ar-SA"/>
        </w:rPr>
        <w:t>issue estoppel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Ultimately, this application turned on whether the Plaintiffs (including the Owners and the Strata Corporation) had standing to bring the claims that they brought. For reasons which are set out below, I concluded that they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Moreover, with the exception of some of Mr. Lam's claims, the standing issue could not be remedied. Consequently, all of the claims of the other Plaintiffs (including the Owners and the Strata Corporation) are not only struck, but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Given these conclusions with respect to standing, as far as the Owners, the Strata Corporation, Richmond Liquidation and Extra Gift are concerned, it was unnecessary to address the other grounds on which the Defendants contend that those claims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Mr. Lam however, I did conclude that it was necessary to address these other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Lam has been tireless in his effort to bring his concerns regarding Pacific Plaza to the attention of the Court. Given this pattern of conduct, it is reasonable to predict that if he could acquire the necessary standing (that is, by persuading Sze Hang Holdings, the owner of the remaining 99% interest in his strata unit, to join him), he would commence a new action founded on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most of these claims, to bring another action would be a waste of time and effort as these claims are bound to fail because there is no arguable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are a few claims however which are sustainable, provided standing is acquired. I have given specific directions with respect to those potential claims so that if they are pursued, it is done in a timely and expeditious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far as the legal principles governing standing are concerned, as is set out in </w:t>
      </w:r>
      <w:r>
        <w:rPr>
          <w:rFonts w:ascii="arial" w:eastAsia="arial" w:hAnsi="arial" w:cs="arial"/>
          <w:i/>
          <w:color w:val="000000"/>
          <w:sz w:val="20"/>
          <w:lang w:val="en-US" w:eastAsia="en-US" w:bidi="ar-SA"/>
        </w:rPr>
        <w:t>The Conduct of Civil Litigation in British Columbia</w:t>
      </w:r>
      <w:r>
        <w:rPr>
          <w:rFonts w:ascii="arial" w:eastAsia="arial" w:hAnsi="arial" w:cs="arial"/>
          <w:color w:val="000000"/>
          <w:sz w:val="20"/>
          <w:lang w:val="en-US" w:eastAsia="en-US" w:bidi="ar-SA"/>
        </w:rPr>
        <w:t xml:space="preserve"> [Peter Fraser &amp; John Horn, vol. 1 (Vancouver: Butterworths, 1978) at 105], a potential litigant must have the legal capacity to sue or be sued, and must be a necessary or proper party to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As a review of Thomas Cromwell's </w:t>
      </w:r>
      <w:r>
        <w:rPr>
          <w:rFonts w:ascii="arial" w:eastAsia="arial" w:hAnsi="arial" w:cs="arial"/>
          <w:i/>
          <w:color w:val="000000"/>
          <w:sz w:val="20"/>
          <w:lang w:val="en-US" w:eastAsia="en-US" w:bidi="ar-SA"/>
        </w:rPr>
        <w:t>Locus Standi: A Commentary on the Law of Standing in Canada</w:t>
      </w:r>
      <w:r>
        <w:rPr>
          <w:rFonts w:ascii="arial" w:eastAsia="arial" w:hAnsi="arial" w:cs="arial"/>
          <w:color w:val="000000"/>
          <w:sz w:val="20"/>
          <w:lang w:val="en-US" w:eastAsia="en-US" w:bidi="ar-SA"/>
        </w:rPr>
        <w:t xml:space="preserve"> (Toronto: Carswell, 1986) discloses, to be a necessary or proper party requires that the potential litigant fall within the category of person or entity legally entitled to the relief sought - that is, he/she/it may only pursue claims in which he/she/it has a legally recognized interest in the claims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Therefore, the issues to be determined with respect to standing are whether the Plaintiffs have the capacity to bring the claims that they have brought; whether they fall within that category of litigant entitled to the relief sought; and/or whether they have a legally recognized interest in the claims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Claims Brought On Behalf of the Owners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was set out at the beginning of these Reasons, the Owners (as defined by the Plaintiffs for purposes of this action) are all of the owners, past and present,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strata units of Pacific Plaza. The Plaintiffs are pursuing these claims on behalf of the Owners as a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addition to the fact that the Owners have not agreed to be included as plaintiffs in this action (in fact, through the Strata Corporation they have actively opposed it), the Owners could not bring these claims in this manner in any event. That is, the Owners are not a legal entity capable of bringing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To bring an action as a group, that group must be recognized as a legal entity. Otherwise, that action consists of a number of individual claims brought by individual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Groups may acquire standing as a legal entity to bring claims by acquiring the designation of a class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That has not been done in this case. Moreover, it is questionable as to whether it could be achieved given that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c.43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provides owners with a mechanism through which they may pursue legal action as a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Specifically, by operation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owners of strata units can pursue group claims through their respective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Pursuant to s.2(b)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(formerly by operation of s.13 of the </w:t>
      </w:r>
      <w:r>
        <w:rPr>
          <w:rFonts w:ascii="arial" w:eastAsia="arial" w:hAnsi="arial" w:cs="arial"/>
          <w:b/>
          <w:i/>
          <w:color w:val="000000"/>
          <w:sz w:val="20"/>
          <w:lang w:val="en-US" w:eastAsia="en-US" w:bidi="ar-SA"/>
        </w:rPr>
        <w:t>Condominium Act</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R.S.B.C. 1996, c. 64</w:t>
        </w:r>
      </w:hyperlink>
      <w:r>
        <w:rPr>
          <w:rFonts w:ascii="arial" w:eastAsia="arial" w:hAnsi="arial" w:cs="arial"/>
          <w:color w:val="000000"/>
          <w:sz w:val="20"/>
          <w:lang w:val="en-US" w:eastAsia="en-US" w:bidi="ar-SA"/>
        </w:rPr>
        <w:t xml:space="preserve">), "[f]rom the time that the strata plan is deposited in a land title office ... the owners of the strata lots in the strata plan are members of the strata corporation under the name The Owners, Strata Plan </w:t>
      </w:r>
      <w:r>
        <w:rPr>
          <w:rFonts w:ascii="arial" w:eastAsia="arial" w:hAnsi="arial" w:cs="arial"/>
          <w:i/>
          <w:color w:val="000000"/>
          <w:sz w:val="20"/>
          <w:lang w:val="en-US" w:eastAsia="en-US" w:bidi="ar-SA"/>
        </w:rPr>
        <w:t>[the registration number of the strata plan]</w:t>
      </w:r>
      <w:r>
        <w:rPr>
          <w:rFonts w:ascii="arial" w:eastAsia="arial" w:hAnsi="arial" w:cs="arial"/>
          <w:color w:val="000000"/>
          <w:sz w:val="20"/>
          <w:lang w:val="en-US" w:eastAsia="en-US" w:bidi="ar-SA"/>
        </w:rPr>
        <w:t>". (In the present case, the Strata Corporation is The Owners, Strata Plan LMS 3259).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There is no provision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that permits owners to commence actions as a group, independent of the strata corporation. Rather, it is only the strata corporation that can make claims on behalf of the strata unit owners, and then only if properly authorized under s. 171 and/or s. 172 of the </w:t>
      </w:r>
      <w:r>
        <w:rPr>
          <w:rFonts w:ascii="arial" w:eastAsia="arial" w:hAnsi="arial" w:cs="arial"/>
          <w:b/>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Pursuant to s. 171, a strata corporation may bring a representative action on behalf of all or some of the strata unit owners upon being authorized by a resolution passed by a 3/4 vote at an annual or special meeting. Pursuant to s. 172, a strata corporation may commence an action on behalf of one or more strata unit owners provided that it has the written consent of those owners and the suit is authorized by a resolution passed by a 3/4 vote.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No doubt the policy underlying these provisions is that as the strata unit owners are required to contribute financially to any lawsuits conducted on their behalf, at the very least those lawsuits should not be commenced without the authorized support of a significant portion of the strata unit owners (namely, 3/4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any event, the Owners are not a legal entity capable of bringing claims. Without standing, it is plain and obvious that the claims will fail. Therefore, the claims of the Owners are not only struck, they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Claims Brought On Behalf of the Strata Corporation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Though it is only the Strata Corporation that can bring claims on behalf of the Owners, the issue raised in this section is whether an owner (assuming for purposes of these claims that the Plaintiffs are owners) can bring claims on behalf of the Strata Corporation. In other words, can an owner bring a derivative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the decisions in </w:t>
      </w:r>
      <w:r>
        <w:rPr>
          <w:rFonts w:ascii="arial" w:eastAsia="arial" w:hAnsi="arial" w:cs="arial"/>
          <w:b/>
          <w:i/>
          <w:color w:val="000000"/>
          <w:sz w:val="20"/>
          <w:lang w:val="en-US" w:eastAsia="en-US" w:bidi="ar-SA"/>
        </w:rPr>
        <w:t>Ang v. Spectra Management Services Ltd.</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2002 BCSC 1544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Hamilton v. Ball</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2006 BCCA 243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Strata Plan LMS 888 v. Coquitlam (City)</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2003 BCSC 941</w:t>
        </w:r>
      </w:hyperlink>
      <w:r>
        <w:rPr>
          <w:rFonts w:ascii="arial" w:eastAsia="arial" w:hAnsi="arial" w:cs="arial"/>
          <w:color w:val="000000"/>
          <w:sz w:val="20"/>
          <w:lang w:val="en-US" w:eastAsia="en-US" w:bidi="ar-SA"/>
        </w:rPr>
        <w:t xml:space="preserve"> demonstrate, the answer to that question is no. Strata unit owners cannot bring derivative actions on behalf of their respective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Though the Plaintiffs argued that the decision in </w:t>
      </w:r>
      <w:r>
        <w:rPr>
          <w:rFonts w:ascii="arial" w:eastAsia="arial" w:hAnsi="arial" w:cs="arial"/>
          <w:b/>
          <w:i/>
          <w:color w:val="000000"/>
          <w:sz w:val="20"/>
          <w:lang w:val="en-US" w:eastAsia="en-US" w:bidi="ar-SA"/>
        </w:rPr>
        <w:t>Dockside Brewing Co. v. The Owners Strata Plan LMS 3837</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2005 BCSC 1209</w:t>
        </w:r>
      </w:hyperlink>
      <w:r>
        <w:rPr>
          <w:rFonts w:ascii="arial" w:eastAsia="arial" w:hAnsi="arial" w:cs="arial"/>
          <w:color w:val="000000"/>
          <w:sz w:val="20"/>
          <w:lang w:val="en-US" w:eastAsia="en-US" w:bidi="ar-SA"/>
        </w:rPr>
        <w:t xml:space="preserve"> supported their position that an owner can bring a derivative action, it does not stand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Rather, it stands for the principle that strata corporations are governed by the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in particular, that legal actions cannot be taken on behalf of a strata corporation without the necessary 3/4 authorization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Dockside</w:t>
      </w:r>
      <w:r>
        <w:rPr>
          <w:rFonts w:ascii="arial" w:eastAsia="arial" w:hAnsi="arial" w:cs="arial"/>
          <w:color w:val="000000"/>
          <w:sz w:val="20"/>
          <w:lang w:val="en-US" w:eastAsia="en-US" w:bidi="ar-SA"/>
        </w:rPr>
        <w:t>, the strata council (which is the mechanism through which the powers and duties of a strata corporation are exercised) commenced a legal action on behalf of the strata corporation, knowing that it (the strata corporation) was not authorized to do so because the necessary support of 3/4 of the owners had not been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Some of the owners in </w:t>
      </w:r>
      <w:r>
        <w:rPr>
          <w:rFonts w:ascii="arial" w:eastAsia="arial" w:hAnsi="arial" w:cs="arial"/>
          <w:b/>
          <w:i/>
          <w:color w:val="000000"/>
          <w:sz w:val="20"/>
          <w:lang w:val="en-US" w:eastAsia="en-US" w:bidi="ar-SA"/>
        </w:rPr>
        <w:t>Dockside</w:t>
      </w:r>
      <w:r>
        <w:rPr>
          <w:rFonts w:ascii="arial" w:eastAsia="arial" w:hAnsi="arial" w:cs="arial"/>
          <w:color w:val="000000"/>
          <w:sz w:val="20"/>
          <w:lang w:val="en-US" w:eastAsia="en-US" w:bidi="ar-SA"/>
        </w:rPr>
        <w:t xml:space="preserve"> applied pursuant to ss. 164 and 165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for the intervention of the Court to remedy the situation. Pursuant to these sections, an owner can apply to the Court to stop a strata corporation from contravening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Dockside</w:t>
      </w:r>
      <w:r>
        <w:rPr>
          <w:rFonts w:ascii="arial" w:eastAsia="arial" w:hAnsi="arial" w:cs="arial"/>
          <w:color w:val="000000"/>
          <w:sz w:val="20"/>
          <w:lang w:val="en-US" w:eastAsia="en-US" w:bidi="ar-SA"/>
        </w:rPr>
        <w:t>, it was to stop the strata corporation from pursing legal action that it was not properly authorized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Neither these provisions, nor the decision of the Court in </w:t>
      </w:r>
      <w:r>
        <w:rPr>
          <w:rFonts w:ascii="arial" w:eastAsia="arial" w:hAnsi="arial" w:cs="arial"/>
          <w:b/>
          <w:i/>
          <w:color w:val="000000"/>
          <w:sz w:val="20"/>
          <w:lang w:val="en-US" w:eastAsia="en-US" w:bidi="ar-SA"/>
        </w:rPr>
        <w:t>Dockside</w:t>
      </w:r>
      <w:r>
        <w:rPr>
          <w:rFonts w:ascii="arial" w:eastAsia="arial" w:hAnsi="arial" w:cs="arial"/>
          <w:color w:val="000000"/>
          <w:sz w:val="20"/>
          <w:lang w:val="en-US" w:eastAsia="en-US" w:bidi="ar-SA"/>
        </w:rPr>
        <w:t xml:space="preserve"> permit a derivative action. Rather, </w:t>
      </w:r>
      <w:r>
        <w:rPr>
          <w:rFonts w:ascii="arial" w:eastAsia="arial" w:hAnsi="arial" w:cs="arial"/>
          <w:b/>
          <w:i/>
          <w:color w:val="000000"/>
          <w:sz w:val="20"/>
          <w:lang w:val="en-US" w:eastAsia="en-US" w:bidi="ar-SA"/>
        </w:rPr>
        <w:t>Dockside</w:t>
      </w:r>
      <w:r>
        <w:rPr>
          <w:rFonts w:ascii="arial" w:eastAsia="arial" w:hAnsi="arial" w:cs="arial"/>
          <w:color w:val="000000"/>
          <w:sz w:val="20"/>
          <w:lang w:val="en-US" w:eastAsia="en-US" w:bidi="ar-SA"/>
        </w:rPr>
        <w:t xml:space="preserve"> demonstrated that ss. 164 and 165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 a remedy to an owner in a situation in which a strata corporation is contravening the law or is not performing a duty which it is obligated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present case, the Plaintiffs contend that as a result of the improper conduct of the Strata Council members (both Former and Current), it is impossible for the Plaintiffs to marshal the necessary 3/4 authorization to bring these claims. They contend that without the right to bring a derivative action, they are without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my view, </w:t>
      </w:r>
      <w:r>
        <w:rPr>
          <w:rFonts w:ascii="arial" w:eastAsia="arial" w:hAnsi="arial" w:cs="arial"/>
          <w:b/>
          <w:i/>
          <w:color w:val="000000"/>
          <w:sz w:val="20"/>
          <w:lang w:val="en-US" w:eastAsia="en-US" w:bidi="ar-SA"/>
        </w:rPr>
        <w:t>Dockside</w:t>
      </w:r>
      <w:r>
        <w:rPr>
          <w:rFonts w:ascii="arial" w:eastAsia="arial" w:hAnsi="arial" w:cs="arial"/>
          <w:color w:val="000000"/>
          <w:sz w:val="20"/>
          <w:lang w:val="en-US" w:eastAsia="en-US" w:bidi="ar-SA"/>
        </w:rPr>
        <w:t xml:space="preserve"> demonstrates that pursuant to ss. 164 and 165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 owner may apply to the Court to rectify the purported improper conduct of a strata corporation. An owner is not without remedy. (I have addressed these claims of improper conduct in these Reasons under the section pertaining to Mr. Lam's claims against the Strata Corporation and the Current Strata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any event, the Plaintiffs do not have standing to bring these claims on behalf of the Strata Corporation. As the Plaintiffs do not have standing to bring them, it is plain and obvious that they will fail. Consequently, these claims are not only struck, they are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Claims Brought On Behalf of Richmond Liquidation Sales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Richmond Liquidation, as was disclosed during this hearing, it is the name of a business rather than a legal entity. That is, Leon Lam and Extra Gift carry on business as Richmond Liquidation. As Richmond Liquidation is not a legal entity, it does not have the capacity to sue on its own behalf. Therefore, the claims brought on behalf of it are struck 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Claims Brought On Behalf of Extra Gift Exchange Inc.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Extra Gift, unlike Richmond Liquidation, is a legal entity. It is a tenant (and has at all material times been a tenant) in two strata units - one of those strata units being wholly owned by Sze Hang Holdings, and the other being owned 1/100th by Mr. Lam and 99/100th by Sze Hang Holdings. It does not now, nor has it ever been, an owner in a strata unit in Pacific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claims brought by Extra Gift are founded on rights and duties belonging to owners, not to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Though a tenant may be assigned the powers of an owner pursuant to ss. 147 and 148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Extra Gift was not assigned those powers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Mr. Lam argues that Extra Gift, though still a tenant, was assigned these powers of ownership pursuant to the </w:t>
      </w:r>
      <w:r>
        <w:rPr>
          <w:rFonts w:ascii="arial" w:eastAsia="arial" w:hAnsi="arial" w:cs="arial"/>
          <w:b/>
          <w:i/>
          <w:color w:val="000000"/>
          <w:sz w:val="20"/>
          <w:lang w:val="en-US" w:eastAsia="en-US" w:bidi="ar-SA"/>
        </w:rPr>
        <w:t>Condominium Act</w:t>
      </w:r>
      <w:r>
        <w:rPr>
          <w:rFonts w:ascii="arial" w:eastAsia="arial" w:hAnsi="arial" w:cs="arial"/>
          <w:color w:val="000000"/>
          <w:sz w:val="20"/>
          <w:lang w:val="en-US" w:eastAsia="en-US" w:bidi="ar-SA"/>
        </w:rPr>
        <w:t>. That statute does not support this argument. To the contrary, it provided that the assignment of ownership rights to a tenant occurred in "residential" tenancies. It did not extend to commercial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Given these circumstances, Extra Gift does not have standing to bring these claims. As it is without standing, these claims are not only struck, but they are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Claims Brought On Behalf of Leon Lam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this action, Mr. Lam has brought personal claims against the Developers; the Realty Company; Pacifica; the Former Strata Council Members; the Current Strata Council Members; the Strata Corporation; and the Original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Mr. Lam brings these claims as the owner of a 1/100th interest in one of the strata units. In my view, as the owner of a 1/100th interest, Mr. Lam does not have the capacity to sue as an owner. Rather, in keeping with the fact that the rights and obligations of owners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are all determined in terms of strata units (for example, there is one vote per strata unit, and contributions of strata fees are calculated on a strata unit basis), I am satisfied that the capacity to sue as an owner is defined in the same manner. That is, it is the owner or owners of a strata unit that have the capacity to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Applying this conclusion to the present case, Mr. Lam does not have standing to bring claims as an owner by himself. Rather, because he and Sze Hang Holdings together own the strata unit in which Mr. Lam has an interest, a claim as an owner requires that they both participate in it. To hold otherwise would not only be inconsistent with the other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but it would also permit an owner to limit his/her/its liability by limiting his/her/its ownership interest in a strata unit as Mr. Lam has done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for the practical reasons set out earlier in these Reasons, I have also addressed these claims as if Mr. Lam did have standing as an owner.</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Claims Against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the claims against the Developers, Mr. Lam claims that they owed him "various" duties, including: the duty "to avoid damage [to] the equity and financial interest of the strata corporation; the duty "to act in good faith and good conscience"; the duty to act in his best interests; the duty not to allow their own interests to conflict with their duty to him; the duty to disclose to him all material facts in respect to the development of LMS3259; the duty to construct and develop the proposed strata development in his best interests; and the duty to construct and develop the strata development "in compliance to the law of various level[s] of government and fulfillment of the purchasing and sale contracts between the Developers and the prospective purchasers/owners".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Generally, the claims can be summarized as founded on fraudulent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To put these claims in context, Mr. Lam contends that the Developers fraudulently misrepresented Pacific Plaza as being a first class "commercial retail" development, whereas it is in fact a "wholesale industrial" development. Mr. Lam submits that this misrepresentation was significant because a wholesale industrial development does not have the facilities necessary to service retail businesses. For example, the parking is insufficient to service the retail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Lam contends that these false representations induced prospective purchasers to enter into purchase and sale contracts for the purchase of "the Wholesale Industrial strata units in the Wholesale Industrial complex" while the Developers and the Realty Company "knew and/or ought to have known" that such representations were false. By doing so, they breached their representations, warranties, and the purchase and sale contracts entered into with "the prospective purchasers/owners". Furthermore, the Developers "continuously directly and/or indirectly" made this false representation to Mr. Lam. As a result, in their personal capacities, they "continuously" caused Mr. Lam "equitable and financial loss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Even if such fraudulent misrepresentations were made to prospective purchasers before Pacific Plaza was completed (and I am not satisfied that they were), they were not made to Mr. Lam. He purchased his ownership interest 6 years after Pacific Plaza was completed. (He did not purchase it from the Developers. He purchased it from another owner). By the time Mr. Lam bought his interest in Pacific Plaza, it was obvious what type of development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Given these circumstances, it is plain and obvious that these claims based on fraudulent misrepresentation and/or breach of fiduciary duty will fail as there is no arguable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Lam has fashioned these claims, alternatively, as breaches of contract. That is, he claims that the Developers further "breached the contracts and contractual duties to construct and deliver a First Class Commercial-Retail Shopping Center". As a consequence of this conduct, Pacific Plaza became "non-viable" and "the retail business environment at LMS3259" was "destroyed". As a result, Mr. Lam, who "inherited the same", suffered "equitable and financial loss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no contractual relationship between the Developers and Mr. Lam of any kind. The Developers did not contract with him to "construct and deliver" a first class commercial retail shopping center. Rather, when Mr. Lam acquired his ownership, Pacific Plaza had been completed and delivered as a wholesale industrial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Through his reference to "having inherited the same", Mr. Lam appears to contend that he can found a breach of contract claim based on a contract made with a previous owner. Setting aside whether there ever was a contract between the Developers and a previous owner in the terms alleged by Mr. Lam, given that this is not a "hidden defect" situation, there is no legal authority for his proposed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Given all of these conclusions, it is plain and obvious that Mr. Lam's breach of contract claim against the Developers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Lam claims that the Developers breached a number of bylaws, including: the "stratification" of Pacific Plaza; the inadequate number of off-street parking stalls; and the fact that some of the strata lots are being used as a school and/or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With respect to the claims pertaining to the stratification of Pacific Plaza, Mr. Lam alleges that the types of strata units available in Pacific Plaza (of the 265 strata units, 190 units are for business use, 73 units are for parking, and 2 units are for signage) are contrary to law (both the bylaws and the </w:t>
      </w:r>
      <w:r>
        <w:rPr>
          <w:rFonts w:ascii="arial" w:eastAsia="arial" w:hAnsi="arial" w:cs="arial"/>
          <w:b/>
          <w:i/>
          <w:color w:val="000000"/>
          <w:sz w:val="20"/>
          <w:lang w:val="en-US" w:eastAsia="en-US" w:bidi="ar-SA"/>
        </w:rPr>
        <w:t>Condominium Act</w:t>
      </w:r>
      <w:r>
        <w:rPr>
          <w:rFonts w:ascii="arial" w:eastAsia="arial" w:hAnsi="arial" w:cs="arial"/>
          <w:color w:val="000000"/>
          <w:sz w:val="20"/>
          <w:lang w:val="en-US" w:eastAsia="en-US" w:bidi="ar-SA"/>
        </w:rPr>
        <w:t xml:space="preserve">, now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allowed the Developer to obtain the "inequitable votes of their parking strata lots and signage strata lots with their employees ... .". As a consequence, the Plaintiffs claim that the Developers "improperly controlled" the Strata Corporation for their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far as the inadequate number of off-street parking claim is concerned, Mr. Lam contends that the 156 off-street parking stalls found on the Pacific Plaza site is 79 parking stalls less than the City of Richmond required in the Development permit and is contrary to the City bylaws. By failing to do so, Mr. Lam claims the Developers defeated his equity. That is, the Developers had "inequitably divested" the common property, resulting in "the retail business environment at LMS3259" being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Lam further claims that the Developers breached City bylaws as the Developers sold a large portion of the wholesale industrial strata units to be used as a school and/or college. Because of the demands of the students at this school/college, there are fewer parking stalls available for Mr. Lam's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many respects, these claims are variations on the previously set out fraudulent misrepresentation claims and/or further fraudulent misrepresentation claims. In any event, given that when Mr. Lam purchased his interest in Pacific Plaza he was fully aware of the situation, there is no legal basis on which he can found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Prior to acquiring his ownership interest, Mr. Lam had been a tenant in Pacific Plaza. He was actively involved in the affairs of the Strata Council, including being its president for a number of months. In other words, prior to becoming an owner, Mr. Lam was aware of the stratifications of Pacific Plaza and the consequent manner in which the votes were allotted; of the number of parking stalls available; and of the school/college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Even if his allegations regarding the bylaw and statutory violations are valid (and it is unlikely that they are as all of the plans were approved by the appropriate authorities at the time), they do not provide Mr. Lam with a cause of action. That is, if Pacific Plaza was constructed in violation of the governing bylaws (which is a matter for the City to determine) and/or statute, any cause of action against the Developers resides with the Strata Corporation, not with 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Given these conclusions, there is no arguable issue with respect to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Other claims made by Mr. Lam against the Developers pertain to structural deficiencies. Specifically, he claims that the Developers "inequitably failed to construct and install" an individual water distribution system (so that each unit would control its own water rather than having water apportioned amongst all strata owners as a common expense); an individual natural gas distribution and gas meter system; an individual zone controlled sprinkler system; and the roughed-in pumping facility and "stub" for the individual strata units on the second and third floors of Pacific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Assuming that these are structural deficiencies (and I am not satisfied that any of them are), Mr. Lam knew or ought to have known of them when he purchased his interest in Pacific Plaza; none of them were hidden. Given that fact, there is no legal foundation on which Mr. Lam can bring these claims against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For all of these reasons, in my view, even if Mr. Lam did have the capacity to sue as an owner, it is nevertheless plain and obvious that his proposed claims will fail because there is no arguable issue. These claims are dismissed.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Claims Against The Realty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noted earlier, Mr. Lam has made claims against the Realty Company. This was the company that marketed and sold the strata units in Pacific Plaza on behalf of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claims pertaining to these Defendants pertain to Mr. Lam's allegations that the strata units in Pacific Plaza were marketed and sold as units in a first class commercial retail development as opposed to units in a wholesale industrial development. In his Statement of Claim, Mr. Lam claims that this conduct constitutes fraudulent misrepresentation, breach of fiduciary duty,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For the same reasons that Mr. Lam does not have a cause of action on any of these grounds against the Developers, he does not have a cause of action against these Defendants. That is, when he purchased his interest he did not do it through these Defendants. In any event, when he purchased his interest in Pacific Plaza 6 years later, he knew or ought to have known that it was a wholesale industrial rather than a commercial retail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Not only was it obvious because the construction had been completed and Pacific Plaza had been in operation for some time, but also, before making his purchase, Mr. Lam had been a tenant in Pacific Plaza for a period of time and a member of the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Having reached these conclusions, I am satisfied that there is no arguable issue with respect to these claims. Consequently, it is plain and obvious that they cannot succeed. These claims are dismissed.</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Claims Against Pacifica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Pacifica was the management company retained by the Strata Corporation to manage Pacific Plaza from shortly after its completion until the fall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Though Mr. Lam contends that these Defendants owed him a fiduciary duty; a duty to act in good faith and good conscience; a duty to act in his best interests; a duty not to allow their own interest to conflict with the duty they owed to him; a duty to disclose to him all material facts in respect to the use and control, as well as the maintenance of the strata development; a duty to operate and administrate the strata corporation in his best interest "while the equity and assets of the owners and the Plaintiffs has been held materially in trust by the strata corporation for the owners"; a duty not to profit at his expense; a contractual duty; and a duty of care to protect and act in his best interests, these contentions are not supported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Pacific First Strata Management Ltd. was employed by the Strata Corporation to provide various management services. In addition to the fact that Mr. Lam was not an owner during the period in which it was providing those services, its contract, duty of care and/or fiduciary duty was to the Strata Corporation, not the individual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Consequently, any cause of action arising from a failure to perform the services for which it was contracted or any breach of duty resides with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Lam does not have the necessary legal relationship to found the claims that he has brought. Therefore, there is no arguable issue. These claims are dismissed.</w:t>
      </w:r>
      <w:r>
        <w:rPr>
          <w:rFonts w:ascii="arial" w:eastAsia="arial" w:hAnsi="arial" w:cs="arial"/>
          <w:sz w:val="20"/>
          <w:lang w:val="en-US" w:eastAsia="en-US" w:bidi="ar-SA"/>
        </w:rPr>
        <w:cr/>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Claims Against The Original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With respect to the claims against the Original Owners, they pertain to fraudulent misrepresentation. That is, Mr. Lam claims that these Defendants fraudulently represented Pacific Plaza as being a commercial retail shopping centre rather than a wholesale industrial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Lam does not have the necessary legal relationship with these Defendants to sustain these claims. That is, he did not purchase his interest in his strata unit from them. Rather, he purchased his interest from Sze 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Given these circumstances, these claims are bound to fail and are therefore dismissed.</w:t>
      </w:r>
      <w:r>
        <w:rPr>
          <w:rFonts w:ascii="arial" w:eastAsia="arial" w:hAnsi="arial" w:cs="arial"/>
          <w:sz w:val="20"/>
          <w:lang w:val="en-US" w:eastAsia="en-US" w:bidi="ar-SA"/>
        </w:rPr>
        <w:cr/>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Claims Against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claims of Mr. Lam against the Strata Corporation pertain to the period extending from 1998 (when the construction of Pacific Plaza was completed) until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He alleges that the Strata Corporation has contravened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by failing to pursue a legal action that has been authorized by the owners (namely, an action of fraudulent misrepresentation against the Developers); failing to commence other legal actions against the Developers (for example, commencing an action against them for the structural deficiencies of Pacific Plaza); failing to produce Strata Corporation financial records upon request; oppressively and unfairly levying fines and penalties; arbitrarily and improperly waiving fines and penalties; and by mismanaging its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Mr. Lam also included an allegation that the Strata Corporation waived fines in exchange for proxy votes. In my view, this allegation was an example of the manner in which Mr. Lam claims that fines and penalties are being improperly and arbitrarily imposed and waived. (There was never an issue raised of an owner's right to vote by proxy. This right is afforded to every owner pursuant to s. 56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was not a separate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Pursuant to the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Strata Corporation has the duty and obligation to commence and pursue actions authorized by the owners (ss. 171 and 172); to disclose financial records to owners (ss. 35 and 36); to make bylaws and rules, and to impose and enforce fines or other penalties (ss. 129-133); and to provide financial management (ss. 91-118).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Sections 164 and 165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 the mechanism whereby an owner may apply to the Court to remedy alleged breaches of duties and obligations, such as the improper exercise of its powers. The issue in this case is whether Mr. Lam's claims against the Strata Corporation fall within the ambit of those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Pursuant to s. 164, upon the application of an owner, the Court may make any order that "it considers necessary to prevent or remedy a significantly unfair ... action or threatened action by, or decision of, the strata corporation, including the council, in relation to the owner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Section 165 provides that upon an application of an owner, the Court may do one or more of the following:</w:t>
      </w:r>
      <w:r>
        <w:rPr>
          <w:rFonts w:ascii="arial" w:eastAsia="arial" w:hAnsi="arial" w:cs="arial"/>
          <w:sz w:val="20"/>
          <w:lang w:val="en-US" w:eastAsia="en-US" w:bidi="ar-SA"/>
        </w:rPr>
        <w:cr/>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order the strata corporation to perform a duty it is required to perform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regulations, the bylaws or the rules;</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order the strata corporation to stop contravening this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regulations, the bylaws or the rules;</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orders it considers necessary to give effect to an order under paragraph (a) or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These provisions provide a mechanism to ensure that a strata corporation complies with its duties and obligations. Though s. 164 permits the application to be brought by a tenant as well as by an owner, and although s. 165 permits an application to be brought by a tenant or an interested person as well as by an owner, these provisions do not depart from the general principles governing standing and capacity to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That is, these provisions are not so broad as to entitle a party who does not have a legally recognized interest in a matter to bring an application under these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claims brought by Mr. Lam against the Strata Corporation pertain to alleged breaches of the duties and obligations that the Strata Corporation owed to the owners, which includes the improper exercise of its powers with respect to the owners. For example, the claim pertaining to the failure to produce financial records is a duty owed only to an owner (ss. 35 and 36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Given the nature of Mr. Lam's claims, it is only an owner that can bring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During the period extending from 1998 until July 2002, Mr. Lam did not have any ownership interest in Pacific Plaza. For a good portion of this time (at least the first two years), he had no association with it, not even as a tenant. For the last year or so of this period, he was a tenant. His tenancy did not include an assignment of the powers of an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For that reason, any of the claims brought by Mr. Lam against the Strata Corporation for the period extending from 1998 until July 2002 are not only struck, but they are also dismissed. Because he does not have standing as an owner, these claims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far as Mr. Lam's claims that the Strata Corporation commence legal actions against the Developers for such alleged wrongdoing as structural deficiencies in the construction of Pacific Plaza, these claims are dismissed because the Court does not have the jurisdiction to grant this remedy. That is, as has been set out previously in these Reasons, the Strata Corporation does not have an unfettered power to commence legal actions. Rather, it can only do so if authorized by 3/4 of the owners. Without that authorization the Court cannot order the Strata Corporation to proceed. As that authorization has not been secured, the Court cannot make the order sought. Consequently, these claims are bound to fail. These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With respect to the remaining claims, they are claims, if brought by an owner, that raise an arguable issue under ss. 164 and 165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(That is, these claims pertain to alleged breaches of duties and obligations of the Strata Corporation and of the exercise of some of its powers). Given this situation, I have concluded that although these claims should be struck, they should not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These Defendants have argued that Mr. Lam has had enough opportunities to bring these claims in the proper form and that he has failed to do so. They contend that to permit him another opportunity constitutes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Many of these claims pertain to the governance and management of Pacific Plaza. For example, claims pertaining to the imposition and enforcement of fines and penalties, incurring unauthorized expenditures, etc. The information necessary to describe these claims in the detail sufficient to render them sustainable is in the records of the Strata Corporation, records which Mr. Lam purports the Strata Corporation have failed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other words, Mr. Lam contends that one of the reasons that he has not been able to draft his pleadings with the precision required is that he has been denied access to documentation to which 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With respect to the allegation that the Strata Corporation has failed to bring a legal action that the owners have authorized it to bring (namely, the fraudulent misrepresentation action), the Defendants submit that that prospective claim was dismissed by Mr. Justice Melvin.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do not agree. Rather, the claim as drafted in the materials before Mr. Justice Melvin was a claim against the Strata Corporation for the wrongdoing of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There is certainly an argument to be made that Mr. Lam has been given enough chances to bring this claim and that it is now an abuse. However, given the complexity of the procedures involved in pleading claims of this kind, I have decided to exercise my discretion and to grant Mr. Lam one further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For all of these reasons, with respect to these claims against the Strata Corporation, although I am striking these pleadings, I am not dismissing them because it is not plain and obvious that they will fail. That is not to say that Mr. Lam will be ultimately successful with respect to these claims, only that it is not plain and obvious that he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claims which are struck but not dismissed are the claims that the Strata Corporation failed to pursue a legal action that has been authorized by the owners (namely, an action of fraudulent misrepresentation against the Developers); failed to produce Strata Corporation financial records upon request; oppressively and unfairly levied fines and penalties; arbitrarily and improperly waived fines and penalties; and some of claims that it mismanaged its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claims which are dismissed are the allegations made personally against counsel for the Strata Corporation and the financial mismanagement allegations pertaining to the legal expenditures made to pursue and defend actions that pertain to Mr. Lam. Given that these actions were properly authorized, Mr. Lam's claims are not sustainable.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Though Mr. Lam is granted another opportunity to redraft the pleadings with respect to the claims listed above, this opportunity is restricted. Those restrictions are set out in detail in the Conclusion section of these Reasons.</w:t>
      </w:r>
      <w:r>
        <w:rPr>
          <w:rFonts w:ascii="arial" w:eastAsia="arial" w:hAnsi="arial" w:cs="arial"/>
          <w:sz w:val="20"/>
          <w:lang w:val="en-US" w:eastAsia="en-US" w:bidi="ar-SA"/>
        </w:rPr>
        <w:cr/>
      </w:r>
    </w:p>
    <w:p>
      <w:pPr>
        <w:numPr>
          <w:numId w:val="1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Claims Against The Former Strata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claims against the Former Strata Council Members pertain to the period extending from 1998 (when Pacific Plaza was completed) until July 2002 (when Mr. Lam purchased his interest in Pacific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was set out in the preceding section, Mr. Lam did not have any ownership interest in Pacific Plaza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Given these circumstances, Mr. Lam does not have standing to bring these claims. Because of that fact, it is plain and obvious that these claims cannot succeed. For that reason, these claims are not only struck, but they are also dismissed.</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Claims Against The Current Strata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claims brought against the Current Strata Council Members pertain to the period extending from July 2002 to the present (namely, the period in which Mr. Lam has owned a 1/100th interest in one of the strata units). For the most part, they are the same claims that he brought against the Strata Corporation and against the Former Strata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Lam has sued these members of the Strata Council personally. Not only are the claims brought against these Defendants personally, but at least in part they are brought on behalf of Mr. Lam personally. That is, he is claiming that the Former Strata Council Members are liable to him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As was touched upon earlier, the strata council is the mechanism through which the powers and duties of the strata corporation are exercised (ss. 4 and 26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In other words, the strata council acts as the board of directors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Though strata council members have been held personally liable, that liability has arisen because of acts of wrongdoing against the strata corporation, not against owners individually. For example, in </w:t>
      </w:r>
      <w:r>
        <w:rPr>
          <w:rFonts w:ascii="arial" w:eastAsia="arial" w:hAnsi="arial" w:cs="arial"/>
          <w:b/>
          <w:i/>
          <w:color w:val="000000"/>
          <w:sz w:val="20"/>
          <w:lang w:val="en-US" w:eastAsia="en-US" w:bidi="ar-SA"/>
        </w:rPr>
        <w:t>Dockside</w:t>
      </w:r>
      <w:r>
        <w:rPr>
          <w:rFonts w:ascii="arial" w:eastAsia="arial" w:hAnsi="arial" w:cs="arial"/>
          <w:color w:val="000000"/>
          <w:sz w:val="20"/>
          <w:lang w:val="en-US" w:eastAsia="en-US" w:bidi="ar-SA"/>
        </w:rPr>
        <w:t>, the Court ordered that the strata council members personally repay the strata corporation for expenses that had been incurred on its behalf because it was the wrongdoing of these strata council members that caused those expenses to be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Specifically, the strata council members in </w:t>
      </w:r>
      <w:r>
        <w:rPr>
          <w:rFonts w:ascii="arial" w:eastAsia="arial" w:hAnsi="arial" w:cs="arial"/>
          <w:b/>
          <w:i/>
          <w:color w:val="000000"/>
          <w:sz w:val="20"/>
          <w:lang w:val="en-US" w:eastAsia="en-US" w:bidi="ar-SA"/>
        </w:rPr>
        <w:t>Dockside</w:t>
      </w:r>
      <w:r>
        <w:rPr>
          <w:rFonts w:ascii="arial" w:eastAsia="arial" w:hAnsi="arial" w:cs="arial"/>
          <w:color w:val="000000"/>
          <w:sz w:val="20"/>
          <w:lang w:val="en-US" w:eastAsia="en-US" w:bidi="ar-SA"/>
        </w:rPr>
        <w:t xml:space="preserve"> incurred legal expenses for a legal action that they were not authorized to commence on behalf of the strata corporation. They knew that that they did not have this authorization but nevertheless proceeded because that legal action benefited their own personal interests, interests which conflicted with the interests of the strata corporation and which they did not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the present case, Mr. Lam has brought claims against these Defendants on behalf of himself. These claims are not sustainable as they are all based on allegations of wrongdoing against the Strata Corporation. In so far as these claims are claims brought by Mr. Lam on behalf of himself, they are not sustainable. Consequently, they are not only struck, but they are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claims brought by Mr. Lam against the Strata Corporation are the same as the claims that he has brought against the Current Strata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If Mr. Lam is contending that the Current Strata Council Members personally benefited to the detriment of the Strata Corporation as a result of a breach of their duties and obligations owed to the Strata Corporation, these claims may be sustainable. (Again, that does not mean that Mr. Lam will succeed with respect to them, only that they raise an arguable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However, these potential claims are limited to the claims which were struck but not dismissed against the Strata Corporation - namely, the claims that the Strata Corporation failed to pursue a legal action that has been authorized by the owners (namely, an action of fraudulent misrepresentation against the Developers); failed to produce Strata Corporation financial records upon request; oppressively and unfairly levied fines and penalties; arbitrarily and improperly waived fines and penalties; and some of claims that it mismanaged its finances. These claims do not include the claims made against counsel for the Strata Corporation, nor to the claims that pertain to the legal expenditures incurred to defend or pursue actions pertaining to 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These potential claims are also subject to the restrictions set out in the following section.</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With respect to the claims pertaining to the Strata Corporation and the Current Strata Council members that I have not dismissed, the pursuit of these potential claims is subject to the following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As all of these claims must be brought by owners, unless Sze Hang Holdings also agrees to pursue them, Mr. Lam is without standing to bring them. That is, it is only together that they are owners - Mr. Lam having a 1/100th interest, and Sze Hang Holdings having a 99/100th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Leave is required before any of these claims can be added to this action. That is, if Sze Hang Holdings agrees to pursue these claims jointly with Mr. Lam and the claims are redrafted, leave (permission) must be granted by me before the claims are formally filed and proceeded with. (I am presently seized of all the actions pertaining to Mr. Lam and Pacific Plaza). The rationale for this requirement of leave is that these proceedings are on the verge of becoming an abuse of process. If the redrafted pleadings are not properly done, barring exceptional circumstances, I will not only refuse to grant leave to proceed with the claims, I will dismiss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With the exception of the claims pertaining to the oppressive and unfair levying of fines and penalties, and the arbitrary and improper waiving of these fines and penalties (which also includes the improper acquisition and use of proxies), none of the potential claims may be brought until the outstanding orders of special costs have been paid. (These orders include the order that I have made in this case in the following section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far as the claims pertaining to the levying of fines and penalties and the arbitrary and improper waiver of them are concerned, there is presently an action before the Court brought by the Strata Corporation against Mr. Lam and Sze Hang Holdings regarding the enforcement of some of the bylaws to which Mr. Lam's claims pertain. (This is Vancouver Registry Action No. SL50030. It is an action of which I am also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If Mr. Lam and Sze Hang Holdings decide to pursue these bylaw claims, I am directing that those claims be brought as a counterclaim in that other action. (Of course, once the claims are redrafted, if Mr. Lam chooses to do so, leave must be sought from me before the pleadings in that action will be amended to include them). The potential counterclaims will not extend to the potential claims against the Current Strata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Though highly unusual, given that the parties are the same and the claims are intertwined, this direction is in keeping with the object of the Rules - namely,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If Mr. Lam and Sze Hang Holdings decide to draft these claims and seek leave to amend the pleadings in the other action, they must do so on or before April 30, 2007 at 4:00 p.m. (The hearing does not have to occur by then, but notice that leave is going to be sought together with a copy of the redrafted claims must be provided by then). This date can be changed by order of the Court or with the written consent of the Strata Corporation, Mr. Lam and Sze Hang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To say the least, it is essential that Mr. Lam appreciate that this is the end of the line. If the pleadings are not properly drawn the next time (assuming that Mr. Lam chooses to proceed), they will no doubt be dismissed because the situation will have become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Lastly, the Strata Corporation, Mr. Lam and Sze Hang Holdings are granted leave to seek further directions if required. If the matter will take less than an hour, they are granted leave to set it at 9:00 a.m. on any mutually convenient day.</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With respect to costs, as all of the claims have been struck and as many of them have been dismissed, as the successful parties, the Defendants are entitled to costs. The Defendants seek an order that these costs be assessed as special costs, given the nature of some of the claims - namely, fraudulent misrepresentation, breach of fiduciary obligation, and various other forms of improper conduct such as acts of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Special costs have been awarded against Mr. Lam on two earlier occasions. The reason for these orders has been the nature of the claims made in those Statements of Claim. (The nature of those claims was very similar, if not the same, as the nature of the claims made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both of those cases, the Court warned Mr. Lam of the consequences of making such allegations without foundation and cautioned him to, at the very least, take advantage of the various legal services and review the matter with counsel, even if he could not afford to retain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state of Mr. Lam's pleadings in this case indicates that he did not consult counsel. No doubt if he had, many, if not all, of the claims that I have dismissed would not have been made and the other claims would have been properly drafted. Significantly, the nature of many of the claims that I have dismissed are the same types of allegations that he was cautioned by the Court not to make without a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foundation. In my view, this conduct is reprehensible and calls for the reproof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Consequently, the Developers, Pacifica, the Realty Company, the Original Owners, and the Former Strata Council Members are awarded costs assessed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With respect to the assessment of the costs to be awarded to the Strata Corporation and the Current Strata Council Members, that matter is adjourned generally. The Strata Corporation and the Current Strata Council Members are granted leave to renew this application, but not before the expiration of the period in which Mr. Lam and Sze Hang Holdings may seek leave to pursue the potential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4" w:history="1">
        <w:r>
          <w:rPr>
            <w:rFonts w:ascii="arial" w:eastAsia="arial" w:hAnsi="arial" w:cs="arial"/>
            <w:b/>
            <w:bCs/>
            <w:i/>
            <w:color w:val="0077CC"/>
            <w:kern w:val="32"/>
            <w:sz w:val="28"/>
            <w:szCs w:val="32"/>
            <w:u w:val="single"/>
            <w:shd w:val="clear" w:color="auto" w:fill="FFFFFF"/>
            <w:lang w:val="en-US" w:eastAsia="en-US" w:bidi="ar-SA"/>
          </w:rPr>
          <w:t>Fiessel v. Fiessel, [2006] B.C.J. No. 1686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14-17, 27-30 and December 2,</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and 5-7,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18,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B994392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1686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1113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151 A.C.W.S. (3d) 848</w:t>
      </w:r>
    </w:p>
    <w:p>
      <w:pPr>
        <w:spacing w:before="120" w:line="260" w:lineRule="atLeast"/>
        <w:rPr>
          <w:lang w:val="en-US" w:eastAsia="en-US" w:bidi="ar-SA"/>
        </w:rPr>
      </w:pPr>
      <w:r>
        <w:rPr>
          <w:rFonts w:ascii="arial" w:eastAsia="arial" w:hAnsi="arial" w:cs="arial"/>
          <w:color w:val="000000"/>
          <w:sz w:val="20"/>
          <w:lang w:val="en-US" w:eastAsia="en-US" w:bidi="ar-SA"/>
        </w:rPr>
        <w:t>Between Jarred Cornelious Fiessel, plaintiff, and Wayne Lewis Fiessel,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1"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4" w:name="Keywords_4"/>
      <w:bookmarkEnd w:id="34"/>
      <w:r>
        <w:rPr>
          <w:rFonts w:ascii="arial" w:eastAsia="arial" w:hAnsi="arial" w:cs="arial"/>
          <w:b/>
          <w:color w:val="000000"/>
          <w:sz w:val="20"/>
          <w:lang w:val="en-US" w:eastAsia="en-US" w:bidi="ar-SA"/>
        </w:rPr>
        <w:t>Damages — General damages — Non-pecuniary damages, including pain and suffering — The plaintiff was awarded $18,000 in non-pecuniary damages for facial and dental injuries suffered in a motor vehicle accident as an infant.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Physical injuries — Head injuries — Teeth — The plaintiff was awarded $18,000 in non-pecuniary damages for facial and dental injuries suffered in a motor vehicle accident as an infant.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The plaintiff's father was found liable for the single car motor vehicle accident, and was ordered to pay $18,000 in non-pecuniary damages for the injuries suffered to the plaintiff's face and teeth.</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5" w:name="Case Summary_4"/>
            <w:bookmarkEnd w:id="3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was awarded $18,000 in non-pecuniary damages -- The 20-year-old plaintiff brought an action against his father for injuries sustained in a motor vehicle accident when he was 3 years old -- The father had failed to secure the infant in the present infant car seat, and had inadvertently driven into the rear of a parked car -- HELD: The plaintiff was awarded $18,000 in non-pecuniary damages -- The father was liable for the accident in failing to pay attention to the road and steer the vehicle in a safe manner -- Based on the evidence, the plaintiff had not lost consciousness as a result of the accident -- The court found the defendant's expert witness' testimony to be more compelling on the issue of traumatic brain injury, and the evidence as a whole fell far short of proof on a balance of probabilities -- The plaintiff had not proved that he suffered a brain injury in the motor vehicle accident or that his problems in school, and behaviourally, were caused or contributed to by the accident -- The appropriate award was $18,000 in non-pecuniary damages related to the pain and suffering caused by the facial and dental injuries. </w:t>
            </w:r>
            <w:r>
              <w:rPr>
                <w:lang w:val="en-US" w:eastAsia="en-US" w:bidi="ar-SA"/>
              </w:rPr>
              <w:cr/>
            </w:r>
          </w:p>
          <w:p>
            <w:pPr>
              <w:rPr>
                <w:lang w:val="en-US" w:eastAsia="en-US" w:bidi="ar-SA"/>
              </w:rPr>
            </w:pPr>
          </w:p>
        </w:tc>
      </w:tr>
    </w:tbl>
    <w:p>
      <w:pPr>
        <w:jc w:val="both"/>
        <w:rPr>
          <w:lang w:val="en-US" w:eastAsia="en-US" w:bidi="ar-SA"/>
        </w:rPr>
      </w:pPr>
      <w:bookmarkStart w:id="36" w:name="Counsel_4"/>
      <w:bookmarkEnd w:id="3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2" style="position:absolute;z-index:2517145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Guy J. Collette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Grant Ritchey &amp; Lindsay C. Morphy</w:t>
      </w:r>
      <w:r>
        <w:rPr>
          <w:lang w:val="en-US" w:eastAsia="en-US" w:bidi="ar-SA"/>
        </w:rPr>
        <w:cr/>
      </w:r>
    </w:p>
    <w:p>
      <w:pPr>
        <w:spacing w:after="240"/>
        <w:rPr>
          <w:lang w:val="en-US" w:eastAsia="en-US" w:bidi="ar-SA"/>
        </w:rPr>
      </w:pPr>
      <w:bookmarkStart w:id="37" w:name="Judgment_4"/>
      <w:bookmarkEnd w:id="37"/>
      <w:r>
        <w:pict>
          <v:line id="_x0000_s1053" style="position:absolute;z-index:251765760"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corrigendum was released by the Court July 21, 2006; the correction has been made to the text and the corrigendum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8" w:name="BAKER J."/>
            <w:bookmarkEnd w:id="38"/>
            <w:r>
              <w:rPr>
                <w:rFonts w:ascii="arial" w:eastAsia="arial" w:hAnsi="arial" w:cs="arial"/>
                <w:b/>
                <w:color w:val="000000"/>
                <w:sz w:val="30"/>
                <w:lang w:val="en-US" w:eastAsia="en-US" w:bidi="ar-SA"/>
              </w:rPr>
              <w:t>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16, 1982, the plaintiff, Jarred Fiessel, then three years old, was injured when the pick-up truck driven by his father, the defendant Wayne Fiessel, drove into the rear of a parked car. On October 20, 1999, just before his twentieth birthday, Mr. Fiessel commenced this action seeking damages for facial and dental injuries sustained in the accident. Mr. Fiessel also alleges that he suffered a traumatic brain injury that has resulted in permanent cognitive and behavioural disabilities. Mr. Fiessel seeks general damages, damages for loss of the capacity to earn income, past loss of income, special damages, and an award for the cost of future care. In addition, the plaintiff is advancing a claim for $140,000 as an "in trust" claim on behalf of his mother, Joan Van Paridon, for out-of-pocket expenses and loss of income associated with support and services supplied by her to her 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concedes that Mr. Fiessel received dental injuries, but disputes the severity and duration of problems resulting from the dental injuries. The defendant denies that the plaintiff suffered a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Jarred Fiessel ("J. Fiessel") was born on November 7, 1979, the first of two children born to his parents, Wayne Fiessel ("W. Fiessel") and Joan Van Paridon ("J. Van Paridon"). During most of J. Fiessel's childhood, W. Fiessel was employed as a mechanic by the City of Richmond and J. Van Paridon was employed as a dental assistant. Except for Thursday afternoons, when J. Van Paridon did not work, J. Fiessel was looked after on week days by a woman who provided care in her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evening of December 16, 1982, J. Van Paridon had gone to an in-home kitchenware party. Shortly before 10:00 p.m., W. Fiessel drove his pick-up truck to the home of the woman who provided daycare for J. Fiessel and picked up his son. He placed J. Fiessel in an infant seat in the passenger seat of the truck, but because the child was fussy and agitated, W. Fiessel did not use the infant seat belt to restrain him in the seat. During the drive to the Fiessel home, J. Fiessel dropped a toy onto the floor. W. Fiessel reached down to retrieve the toy and while his attention was diverted from the road, he drove into the rear of a truck parked on the side of the road. The right front fender of W. Fiessel's truck struck the left rear side of the other truck. W. Fiessel did not testify at trial, but testified at his examination for discovery that prior to the collision he was driving at a speed of 25 to 30 miles per hour, or less. He also testified that there was not much damage to his vehicle - just damage to the right front fender.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 Fiessel testified that he was wearing a lap belt, but that the vehicle was not equipped with shoulder belts, and that the force of the impact caused him to move forward and to strike his head on the windshield with sufficient force to crack the windshield. J. Fiessel was thrown out of his infant car seat and onto the floor of the vehicle. From the reported injuries, I conclude that he struck his face on the dashboard or some other part of the interior of the truck. He suffered bruising and lacerations to his mouth and lip, and damage to his front upper right infant teeth.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Counsel for the defendant advised the Court that liability was not admitted, but no evidence was led by the defence on the issue of liability. I am satisfied that the accident, and J. Fiessel's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 Fiessel in failing to pay proper attention to the road and failing to steer the vehicle in a safe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CONSCIOUSNESS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major issue in this lawsuit is the question of whether J. Fiessel suffered a brain injury as a result of the motor vehicle accident. Central to the determination of that issue is the question of whether he lost consciousness as a result of striking his head. I shall review the evidence about that issue in some detail.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defence of this action has been conducted by the Insurance Corporation of British Columbia ("ICBC"), which is W. Fiessel's insurer. As I stated earlier, W. Fiessel did not testify at trial. Counsel for the plaintiff submitted that an adverse inference should be drawn against the defendant for his failure to testify, but I am not satisfied that such an inference ought to be drawn. Although the father and son are, technically, adverse in interest in this lawsuit, W. Fiessel must be considered to be a party friendly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 Fiessel had been examined for discovery by J. Fiessel's lawyer on February 26, 2001 and lengthy passages from the examination for discovery were read into evidence by counsel for the plaintiff. W. Fiessel testified that he believed that he had reported to his insurer that his vehicle had been damaged in the accident, but did not report any injury to his son. As a result, the defendant's insurer had no opportunity to investigate the circumstances of the accident, or the nature or severity of the plaintiff's injuries until the plaintiff commenced this lawsuit 16 years later. Some of the plaintiff's medical and dental records have been destroyed or lost in the interim.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first asked about the events immediately following the collision, W. Fiessel gave this evidence at his examination for discovery: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62</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Now, what happened to Jarred in the accident? Did you see?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When I hit, he came out of the - obviously he came out of the seat because I didn't have him strapped in. Just a little harness on it. He came out and he hit the dash. Then I picked him up off the floor and he was of course crying. Then we went into the house right beside where I did have the accident and then we called the police and ambulance.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This evidence suggests that the infant J. Fiessel was conscious and crying immediately after the impact occurred. When questioned further, however, W. Fiessel's evidence was somewhat different.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67</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Do you remember what happened immediately after the accident? Did he start crying immediately or was he quiet for a period?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Not right away.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68</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Just wait until I'm completely finished my question, okay? All right. So, my question was did he start crying right away or was he quiet for a period of time?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He was quiet for a period of time.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Q 69 Okay. Roughly how long?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Maybe four minutes, five minutes roughly.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70</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And did you quickly check him over right at the scene?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I did.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71</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Did he appear to be with it? Was he conscious or was he --</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He was small. So, you can't really say whether or not he was with it or not. I know he was crying.</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Q72</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Well, I'm talking about the period of time when you said he was quiet for a period of time.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Oh, okay.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Q 73 During that period what did you notice about him?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Again, it was dark out for one thing. So, I couldn't really see. I mean, it was --</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74</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Was he speaking? I'm talking about at that age he was. Was he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Not really, no. Well, a few words.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75</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Were you asking him, are you okay? Does it hurt anywhere?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 I didn't, because, well, he was crying. So, I was more or less trying to calm him down more than anything.</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76</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Again, I'm talking about the period of time when he was quiet and not crying.</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Uh-hum.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77</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You said there was a period of time when he wasn't crying at first?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Yeah. When the accident first happened.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Q 78 Yes. That's what I'm talking about, okay?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79</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When the accident first happened, during the period of time he was quiet and hadn't started crying, I'm trying to get your recollection of how he was at that time. Was he moving about, was he --</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 he wasn't, because I picked him up off the floor.</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80</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do you recall asking him again during that period of time, are you all right?, or does it hurt?, or anything like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can't say whether I remember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Q 81 Was he limp or was he flailing around?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can't even say that. I can't remember that part either.</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82</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Do you recall how quickly you were able to respond to attending him after the accident? Like, you said you hit your head?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Q 83 Was there a period of time you were sitting there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there was. The time I got my direction back or my feelings back or whatever, that's when I realized. Then I picked him up off the floor.</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84</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And then is there any point in time that you can isolate when he started crying? Was it like, you know, whether there was people that came running up, or the police arriving, or ambulance arriving, or something that you can relate to when he started crying?</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He started crying probably four to five minutes after I picked him up.</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 Fiessel testified that no one came running out of the nearby home while he and J. Fiessel were still in their vehicle. W. Fiessel's recollection was that he eventually got out of the pick-up truck, and carried his son to the door of the nearest home, knocked on the door and was admitted. He called the police and police and an ambulance came to the scene. J. Fiessel went to hospital alone in the ambulance while W. Fiessel was taken to the police detachment where a breathalyser test was administered, after which the police drove W. Fiessel to the same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 Fiessel's recollection of the events differs, however, from that of an independent witness who testified under subpoena, and reluctantly, as a witness for the defence. In December 1982, Robert Agricola was living with his parents in Delta. The vehicle W. Fiessel drove into belonged to Mr. Agricola's brother-in-law, and was parked in front of Mr. Agricola's parents' home. Robert Agricola was interviewed by police shortly after the accident occurred, at 10:48 p.m. The statement was reduced to writing, and the written statement was entered into evidence at this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16, 1982, Mr. Agricola told the police that he was standing in his living room when he heard the crash and that he ran outside in his bare feet. Mr. Agricola testified that he still recalls some of the events, and that the information he gave to the police at the time was 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Agricola testified that he was watching television with his Dad when he heard the sound of the collision outside. He recalled the time of the accident because he was waiting for one of his favourite shows to come on. He testified that when he got to the Fiessel truck, W. Fiessel was sitting in the driver's seat, with a small child on his lap, and W. Fiessel was saying "sshh, sshh" to the child. Mr. Agricola recalled that the child was either already crying or started to cry, and was conscious, and that W. Fiessel was trying to calm the child down by saying "sshh, sshh" to him. Mr. Agricola recalled that W. Fiessel and the child went into the Agricola home, and that the police were called. Mr. Agricola could not recall how long it took for the police to arrive.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Mr. Agricola testified that he recalled that the child's teeth were pushed in. When asked if the child was conscious when Mr. Agricola first saw him, he said "absolutely". He was prepared to agree, however, that it was possible that the child did not cry until he was in the Agricola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the reasons that follow, I prefer the evidence of Mr. Agricola to that of W. Fiessel, and I conclude that J. Fiessel did not lose consciousness as a result of striking his face on the dashboard of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Agricola is a neutral witness, with no apparent reason to favour the position of the plaintiff or the defendant and he was responsive to the questioning of both counsel. It was clear that the event had made an impression on him, and he had the assistance of the statement he had given to police at the time to assist him in recalling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stated earlier, W. Fiessel cannot be considered to be a neutral witness. Although he is the nominal defendant, the answers given on examination for discovery indicate a willingness to acquiesce with suggestions made to him by J. Fiessel's counsel. There is also evidence suggesting that W. Fiessel's recollection of events may be unreliable.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his examination for discovery, W. Fiessel was asked whether hitting his head on the windshield caused him to have any memory loss. He replied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58</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 did actually a little bit. It took a while to sort of get refocused again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following exchange then occurred: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59</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But in terms of your recollection of what happened around the motor vehicle accident, was that affected by your hitting your head on the windshield?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 remember everything around the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Q 60 Yeah.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would probably say it contributed to it, 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61</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You mean, to maybe not clearly remembering everything?</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police report prepared by Delta police officers who attended at the scene of the accident was admitted into evidence. That report indicates that police officers arrived at the scene at approximately 10:05 and found W. Fiessel and J. Fiessel in the kitchen of the Agricola home. The police officer who spoke with W. Fiessel observed that his speech was slurred, his eyes were bloodshot, he had alcohol on his breath, and that he was confused and vomited once. A breath sample was demanded and W. Fiessel was transported to police headquarters. W. Fiessel had to be assisted in walking to the police cruiser because he was unsteady on his feet. At the detachment, W. Fiessel stated that he was drunk, and that he had been drinking rum at a friend's house since 4:30 p.m. Breath samples were taken that indicated the consumption of alcohol. The first breathalyser reading showed 160 mg. of alcohol per 100 millilitres; the second reading was 140. The statements made by W. Fiessel to police, and the breathalyser results indicate that his ability to accurately recall the events at the time of the accident was likely impaired by the consumption of alcohol.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have also taken note that W. Fiessel's description of the events immediately after the accident seems improbable. He testified that J. Fiessel did not begin crying for four or five minutes after he picked him up off the floor. I am unable to believe that any father in those circumstances would have sat for four or five minutes with a silent and unresponsive child in his arms before seeking help or taking some action. W. Fiessel's evidence also requires the Court to accept that no one came out of the Agricola home for more than five minutes after the collision happened, and that the statement Mr. Agricola gave to the police on the evening of the accident is not 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Agricola's recollection of events strikes me as much more probable. He heard the sound of a crash and immediately ran outside to investigate. He recalls that W. Fiessel was attempting to quiet the child in his arms, from which I conclude that W. Fiessel had already picked the child up and that J. Fiessel was already crying or starting to cry. Mr. Agricola said he is sure that the child was conscious when he arrived at the truck and already sitting on his father's lap. In addition, Mr. Agricola's evidence accords with the first description given by W. Fiessel on his examination for discovery, which was that he picked J. Fiessel up off the floor "and he was of course crying". It was not until it was suggested to him that J. Fiessel may have been quiet for a period of time that he gave that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the evidence of Mr. Agricola where it conflicts with that of W. Fiessel. I conclude that by the time Mr. Agricola reached the Fiessel vehicle - a matter of seconds or a minute at most - after the accident occurred, W. Fiessel had already picked J. Fiessel up and J. Fiessel was already crying, or beginning to cry.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Agricola recalled that it was 10:00 p.m. when he heard the sound of the collision. The police officers who attended the scene noted their time of arrival to be 10:05, by which time W. and J. Fiessel were already in the Agricola home. This evidence also tends to contradict W. Fiessel's testimony that he remained in the vehicle holding an unresponsive child for four to five minutes after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J. Fiessel testified at trial that he has no memory of the accident - a fact that could be attributed to a loss of consciousness, or his young age at the time. However, medical records in evidence indicate that J. Fiessel told several doctors that he did have some recall of being in the accident. Dr. Donald Cameron, a neurologist who saw the plaintiff for purposes of preparation of a medical legal report noted that J. Fiessel said he had "some recall of being in accident". J. Fiessel told Dr. Krywaniuk, a psychologist retained by plaintiff's counsel, that he had some recall of being with his father at the time of the accident. If J. Fiessel does have an actual memory of the event, it would also indicate that there was no loss of consciousness.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evening that the accident occurred, J. Van Paridon arrived home about 10:00 p.m. and noted that her husband's pick-up truck was not there. Shortly after she entered the home, the police called and told her there had been an accident and that her husband and son were at the Delta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appears likely that J. Van Paridon's recall of when she received the telephone call from police is incorrect, or that her recollection that both her husband and son were already at the hospital when she arrived was incorrect. The police report in evidence indicates that while J. Fiessel was transported to the hospital soon after the police arrived at the Agricola home, W. Fiessel was first taken to police headquarters and remained there until 11:16 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any event, J. Van Paridon's sister and brother-in-law drove her to the hospital - a drive of about 20 minutes from her home. As she entered the emergency department, J. Van Paridon saw J. Fiessel on a bed, with a police officer standing by the bed, and W. Fiessel on another bed near by. She went to her son's bed and he immediately recognized her. She recalls that he had blood on his face, and his lip was cut. Some of his top front teeth appeared to be missing. There is no evidence that the plaintiff's forehead was bruised or swollen, and no evidence indicating any part of his face was injured, other than his mouth.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Because W. Fiessel was upset about the accident, and about his son having been injured, J. Van Paridon did not ask him for any details about how the accident had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 claim was made for compensation for the plaintiff's injuries at the time, so neither the plaintiff's parents nor the defendant's insurer obtained a copy of the emergency department record at the time, and it appears to have been destroyed. There is, therefore, no record of the assessment hospital staff made of the plaintiff's state of consciousness at the time of his admission. J. Van Paridon testified, however, that when she arrived at the hospital, her son immediately recognized her. The doctor told J. Van Paridon that her son had been responsive when he had arrived at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Later that night, J. Fiessel was discharged from hospital and went home with his parents and aunt and uncle. J. Van Paridon estimated the time spent at the hospital as one hour maximum. Her sister, Donna Van Paridon ("D. Van Paridon"), estimated that they remained at the hospital between 60 to 90 minutes. J. Van Paridon was not told that J. Fiessel had a concussion. However, emergency department personnel told her to take her son to see his family doctor and dentist, and that if she had difficulty waking the child, she should call an ambulance.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the Fiessel family arrived home, J. Fiessel was put to bed. J. Van Paridon stayed at his bedside and set an alarm clock so that she could periodically wake him up. She was able to wake him, although he resisted waking up. Given his age, the events and the late hour at which he had been put to bed, I have no doubt he was reluctant to have his sleep interrupted. I conclude that J. Fiessel's response to her efforts to wake him was not unusual enough to cause his mother to seek further medical treatment for him. There are no reports that the plaintiff vomited, or displayed restlessness or irritability, or other symptoms associated with concussion or brain injury, at the hospital or in the hours immediately after his discharge from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onus of proof is on the plaintiff, and taking all of this evidence into account, I am satisfied that the plaintiff did not suffer a loss of consciousness as a result of the accident. I shall address the implications of my conclusion that there was no loss of consciousness when I review the medical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 CONTINUING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next morning, J. Van Paridon telephoned her dental employer, Dr. Patrick Boyle, at his home and reported that her son's teeth had been damaged and arranged to meet Dr. Boyle at his clinic before regular clinic hours to have J. Fiessel examined by Dr. Boyle. J. Van Paridon and W. Fiessel both accompanied their son to Dr. Boyle's office. J. Van Paridon made a brief note about the visit in her son's dental chart. She noted that one of his teeth, described as "5.2" had been "lost in accident" and that another tooth, described as "5.1" had a "tip" that was left to be extracted later under general anaesthetic. J. Van Paridon testified that Dr. Boyle extracted one of the teeth but left the tip of the other tooth in place because the child's gums were sore and he was resistant and crying.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From a diagram of the mouth that forms part of the dental chart, it appears that the two damaged teeth were on the upper right side of J. Fiessel's mouth. That accords with J. Van Paridon's recollection. W. Fiessel could not recall how many teeth were lost or damaged and could recall only that they were upper teeth.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 Van Paridon's recollection is that the remaining tooth tip was eventually removed under general anaesthetic but she could not recall when that occurred or the name of the dentist who did the extraction. After the early morning visit to the dentist on December 17, 1982, J. Fiessel's next visit to Dr. Boyle occurred on April 6, 1983 when he received a "brief polish". On August 26, 1983 he was back to Dr. Boyle's clinic for standard prophylactic care and fluoride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J. Van Paridon testified that after the accident, some of her son's baby teeth turned brown, and that his permanent teeth did not grow in until he was about 11 years old. The dental records available do indicate that J. Fiessel had problems with his teeth as a child. When he was 8 years old, on March 8, 1988, the plaintiff was sent to Dr. Janice Yip for an orthodontic consultation. In a report letter sent to Dr. Boyle, Dr. Yip reported that J. Fiessel had: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what appears to be a developing Class III malocclusion in the early mixed dentition stage of development. A total anterior crossbite and crossbite of the left posterior segment is present. The Maxillary right side is constricted.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Yip recommended waiting until the plaintiff's central and lateral incisors had come in before making a complete diagnosis. She advised that if a true skeletal Class III malocclusion was developing, treatment would not commence until growth in the jaws was complete.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 expert was called to interpret Dr. Yip's report, but it does not appear that the problems with J. Fiessel's teeth were attributed by Dr. Yip to the early loss of two of his upper teeth on the right side of his mouth.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J. Van Paridon testified that her son became quite self-conscious about his teeth and that most of the time he tried to smile with his mouth closed. J. Van Paridon produced some photographs of J. Fiessel taken at various childhood ages. While his preschool and first grade class photos show him smiling with his lips open, in several later photographs he looks like he is trying to smile without showing his teeth.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photograph of J. Fiessel taken when he was four years old and in pre-school appear to show the missing teeth on the upper right side of his mouth - the side where his teeth were damaged in the accident. Later photographs, particularly a photograph taken of the plaintiff together with his sister when he was about 10 years old, appear to show that the upper right teeth were in place, and crooked teeth and gaps on the upper left side of his mouth. In the absence of opinion evidence linking the malocclusion referred to in Dr. Yip's report to Dr. Boyle, to the loss of the infant teeth caused by the accident, it is not possible to conclude that there was a causative relationship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dental problems referred to in Dr. Yip's letter.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no doubt, however, that the plaintiff suffered considerable pain and discomfort as a result of the injury to his mouth and teeth; that he lost two infant teeth; that he had to have a tip of one of those teeth extracted under general anaesthetic; that he likely had pain after that extraction; that some of his other infant teeth became discoloured as a result of the impact; resulting in the plaintiff becoming self-conscious about his appearance. I am satisfied that he had lacerations to his lip and mouth, and that blood flowed from one or more of the lacerations, and that it is likely that his mouth was sore for several days or even weeks following the accident. The necessity for Dr. Boyle to examine the injured area and attempt to remove the tooth tip while the plaintiff's mouth was sore was probably also very painful and frightening for the three-year-old J. Fiessel. It is likely that the "lethargy" described by the plaintiff's mother was a reaction to the pain and upset caused by the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also satisfied that the circumstances were probably very upsetting for the young plaintiff and that his emotional upset and fear was probably increased by the fact that his father was unable to accompany him in the ambulance and that he was at the hospital for some time - likely about an hour - without any familiar person being present to comfort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Dr. Boyle treated J. Fiessel early on the morning of December 17, 1982, W. Fiessel left with J. Fiessel and J. Van Paridon stayed at work for the rest of the day. J. Van Paridon understood that her husband was going to take their son to their family doctor and then to his grandmother's home. Unfortunately, no medical records from J. Fiessel's family doctor are in evidence so we do not know if the plaintiff was seen by a doctor on December 17, and if so, what diagnosis, if any, was made. Dr. Myckatyn was the family doctor at the time; succeeded by Dr. Donlevy. No medical records were obtained from either of these doctors.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It's not clear if J. Fiessel returned to daycare at all that week and I conclude that he probably did not. J. Van Paridon testified that on the weekend following the accident, her son seemed lethargic and less active than usual. It was only a few days until Christmas, so she telephoned her mother who offered to come and look after the child until the Christmas holidays, when J. Van Paridon would not be working. When J. Van Paridon went back to work after the Christmas holidays, J. Fiessel went back to his regular daycare.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J. Van Paridon and her sister D. Van Paridon both testified that before the accident, J. Fiessel was a happy child who was sociable with other children and adults, and talked and walked relatively early. D. Van Paridon had no children of her own and lived only a short distance from her sister's home, so saw her nephew regularly after he was about two years 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J. Van Paridon recalled that for a few days after the accident, her son seemed more lethargic than usual. She testified that she also observed changes in her son's behaviour that she attributed at the time to the emotional trauma of the accident. She said he was less willing to lie down or sit or play quietly. He didn't get along as well with a neighbour child as he had before the accident, or with the other children at the daycare, and he changed daycares twice during the year following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 Van Paridon also testified that after the accident, she noticed that J. Fiessel seemed less social and less able to get along with other children, losing his temper and becoming frustrated more easily. He also seemed more demanding.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J. Van Paridon testified that she asked Dr. Myckatyn whether any of the changes she had noted in her son's behaviour could be caused by the injury he suffered in the motor vehicle accident. Dr. Myckatyn told her that was not possible.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 Van Paridon is a teacher with special training in teaching hearing impaired students. During the year after the accident, she noticed that her nephew would sometimes hold his hands over his ears and he complained of ringing in his ears. J. Van Paridon arranged for her family doctor, Dr. Myckatyn, to refer J. Fiessel to Dr. Riding, an ear, nose and throat specialist at Children's Hospital. He was seen by Dr. Riding on December 12, 1983 and on January 13, 1984. When seen on December 12, he had just recently recovered from a bout of pneumonia. Dr. Riding noted: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He frequently complains that his ears ring and this has been going on for about a year. What happens is that he comes running to his mother with his hands held over his ears, saying that they are ringing, and within a few minutes, he is off playing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Riding noted that J. Van Paridon reported that her son had had no ear infections. However, Dr. Riding noted that J. Fiessel's right ear drum appeared abnormal, and testing suggested the presence of middle ear fluid. Dr. Riding's diagnosis was " a right serious otitis media ..., secondary to the recent bout of pneumonia" and "He certainly had reason in both middle ears today to cause his symptoms and I would suspect that this is what has been going on with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Riding examined J. Fiessel again on January 13, 1984. In his report to Dr. Myckatyn he noted that J. Fiessel had had fewer complaints with his ears. On examination, Dr. Riding found that both ears now appeared normal, and that his hearing was normal for all frequencies in both ears. An attempt was made to try and match the ringing in his ears with one of the frequencies but this was not possible because the child could not match the noises. Dr. Riding concluded that the serious otitis media had cleared, that the tinnitus did not indicate a neurosensory loss, and that he suspected that what J. Fiessel had been hearing was fluid bubbling and clearing from his 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J. Fiessel testified at trial that he has had ringing in his ears for as long as he can recall, and that when it occurs, it usually lasts for about 10 minutes. Expert witnesses testified at trial that tinnitus can result from a traumatic brain injury, and plaintiff's counsel suggests that the evidence that these symptoms were observed within a year after the accident should be taken as an indication that the plaintiff did suffer a brain injury. There is also evidence, however, that tinnitus can happen spontaneously, and that there are other causes. Dr. Riding's diagnosis of infection and fluid in the ear suggest the tinnitus in 1983 was unrelated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the testimony of J. Van Paridon and her sister suggests a close temporal relationship between the accident and changes in J. Fiessel's behaviour, documents in evidence indicate that it is probable that the plaintiff did have some emotional and behavioural problems before the accident, and that the significant behavioural problems that have impaired the plaintiff's ability to succeed in school did not really emerge until several years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saying that I have doubts about the accuracy of the recollections of these witnesses, I would not wish to be understood to be suggesting that I found J. Van Paridon or D. Van Paridon to be deliberately untruthful. Rather, I conclude that with the passage of time they have naturally forgotten the timing and sequence of some of the events about which they testified, and have, probably unconsciously, reconstructed events that they do not really recall in a manner helpful to the plaintiff. I note, for example, that in responding to a questionnaire supplied by the defence psychologist in August 2005, J. Van Paridon could not recall the age at which the plaintiff put two or more words together; could not recall when he was toilet-trained for bladder or bowel control; and could not recall approximately how much time it took for toilet training from onset to completion.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She also noted that the plaintiff reached a number of developmental milestones early and or at the normal time, and looking at these, I conclude that some at least of these milestones occurred after the motor vehicle accident. She reported for example, that the plaintiff rode a tricycle, began to swim, buttoned clothing, named colours and said the alphabet in order earlier than normal. She reported that he rode a bicycle with training wheels, dressed himself, tied shoelaces, named coins and began to read at a normal age. However, when cross-examined about the answers given on this questionnaire, she said she could not recall when the plaintiff had done any of these tasks. She did recall that he said his alphabet at age three. As stated earlier, the accident happened only a month after the plaintiff's third birthday.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My reservations about the accuracy of J. Van Paridon's recall is also based, in part, on several apparent inconsistencies in statements made to various professionals consulted by her and the plaintiff over the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report prepared for the School district in April 1993 indicates that J. Van Paridon reported that from infancy the plaintiff had shown a sensitive nature with a strong attachment especially to his mother, and that he would not engage in self-directed play activities. He was easily distracted and could not sustain attention. My reading of this report led me to believe that J. Van Paridon was not limiting her comments to the period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According to the report of plaintiff's neuropsychologist, Dr. Krywaniuk, J. Van Paridon reported to him in 2001 that the accident happened when the plaintiff was four years old, an indication that her recall of the timing of events was inaccurate. She is also reported to have told Dr. Krywaniuk that after the accident, the plaintiff didn't sleep well and always complained of ear aches and other things.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Riding, the ear, nose and throat specialist who saw the plaintiff in 1983 noted, however, that J. Van Paridon denied that the plaintiff had had any ear aches. And Dr. Joschko, a psychologist who saw the plaintiff at the defendant's request in September 2005, was told by J. Van Paridon that she could not recall whether the plaintiff's sleeping pattern changed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J. Van Paridon told Dr. Joschko she could not recall whether the plaintiff became agitated after the accident, or if he became sensitive to noise and sensory stimulation; could not recall whether he had difficulty focusing on his favourite television programs; but did recall that he did not become impulsive, destructive or out of control, and that there was no increase in temper outbursts. She reported that J. Fiessel's academic and social performance in preschool was "average, some problems with other children" and that it was not until Kindergarten that problems seemed to become more apparent and that these problems increased in advancing grades.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July 23 and 27, 1985, when J. Fiessel was five years and eight months old, he was seen by a registered psychologist, Joyce Ternes, for a cognitive/educational assessment due to school difficulties. At the time, he had completed Kindergarten, and had been promoted, "with reservations", to Grade 1. According to Dr. Ternes' report, J. Van Paridon told Dr. Ternes that in terms of "... social/emotional development, J. Fiessel was considered an easy happy child until he entered preschool."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Ternes' report also indicates that J. Van Paridon stated that J. Fiessel had "... passed all his developmental milestones on time and could repeat the alphabet from memory at age three." I note here that the plaintiff had just had his third birthday when the accident occurred, so I assume this is a reference to a skill he developed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Ternes' report links J. Fiessel's behavioural changes to his entry into preschool at age four. She noted that from the time he entered preschool, he had had difficulty getting along with other children and teachers complained of his short attention span and inability to follow directions. He would refuse to do work, or sit down, was easily discouraged, and any criticism or error could lead to a refusal to complete the assigned task.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According to Dr. Ternes, J. Van Paridon reported that since J. Fiessel had entered Kindergarten he had been very demanding of attention and reassurance and had had difficulty adjusting to the presence of his baby sister, Kristy Fiessel ("K. Fiessel"), who had been born on December 13, 1983.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Ternes administered a battery of psychometric tests to five-year old J. Fiessel. The results placed him in the average range of intelligence with little spread between his verbal and performance testing scores. She identified difficulties in language and perceptual motor abilities. She attributed the behavioural problems reported by his teacher to frustration. She noted he had a poor self-image and that the pressure of lack of success at school and a new baby to cope with at home had made his behaviour difficult. At six years old he also had a "lazy eye". He wore an eye patch to correct this condition, and eventually began wearing glasses. Until he was seven years old he had bed wetting problems. He was also noted to be "probably underweight". He was teased about his appearance by other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J. Fiessel's problems at school continued. He had difficulty remaining in his seat; behaved aggressively on the playground and had few friends. He was considered to be disorganized and forgetful. At home he was more resistant to following directions and more aggressive to his sister, with whom he has never had a good relationship. He had low self image and became easily frustrated and when frustrated, would refuse to continue with the task.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 Fiessel and J. Van Paridon separated in 1988 when J. Fiessel was in Grade 3. J. Van Paridon had sole custody of the two children, who saw their father every second weekend. In 1988, J. Fiessel was referred to Children's Hospital for another cognitive/educational assessment. He was again found to be functioning within the average range intellectually, but demonstrated more difficulties on performance tests than on verbal tests. He had problems with fine motor coordination and in sequencing. The assessor made a series of recommendations to assist with his subtle learning difficulties, including special help in the form of a tutor or learning assistance. His behavioural problems were again attributed to frustration and feelings of failure.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January 1990, when J. Fiessel was in Grade 5, he began seeing child psychologist Leigh Bowie. In a report dated May 21, 1998, after having seen the plaintiff intermittently for several years, Dr. Bowie stated that he considered J. Fiessel's most significant problem to be a subtle but profound language processing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J. Van Paridon testified about the difficulties the plaintiff experienced in school academically and socially, and her efforts, and those of the professionals she consulted, to assist her son. As a result of efforts to find a school situation in which the plaintiff could receive the additional attention he needed, there were frequent moves to different schools. Given that one of the plaintiff's major problems was his inability to make friends, this exacerbated his social isolation. J. Fiessel's school records indicate he attended one elementary school from September 1984 until the end of June 1987; and then switched to another elementary school where he stayed for only four months. He moved to a third elementary school for the balance of that school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J. Van Paridon then enrolled the plaintiff in a Catholic elementary school. The class sizes were smaller and the principal had agreed to offer extra assistance. However, after two years, the school asked J. Van Paridon to withdraw her son from the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 client of J. Van Paridon's who was a special needs teacher recommended an elementary school in Delta, so J. Van Paridon moved herself and her son and daughter to Delta. J. Fiessel stayed at that school for two years. He started secondary school at a public high school, but had significant problems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October 1993, the plaintiff's mother enrolled him, at considerable expense, in a private school for students with learning problems. The school referred the plaintiff to registered psychologist Dr. R. Schmidt for an assessment for attention deficit hyperactive disorder and the assessment was done in October and November 1993. Dr. Schmidt noted that J. Fiessel had been liked and sociable in pre-school, although he demonstrated problems in sharing and turn taking, wanting to win. Dr. Schmidt also noted that in Kindergarten, although not at home, the plaintiff began to show easy frustration, acting out behaviour and difficulty doing the work. J. Van Paridon agreed, in cross-examination, that she had provided this information to Dr. Schmidt, and that it was 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Schmidt noted that the plaintiff had experienced a number of family stresses, including his parents' divorce, his grandfather's death, family moves and changing schools.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a questionnaire completed by J. Van Paridon for Dr. Schmidt, she rated him across all scales as showing a clinically significant number of symptoms of attention deficit hyperactivity disorder (ADHD). She also noted having observed problems in attention, activity and impulse control to be pervasive at home. The teachers at the plaintiff's school also noted problems of inattention, over-activity, and poor impulse control, as well as noting that J. Fiessel was very sensitive emotionally, and demonstrated oppositional and aggressive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J. Fiessel did not perceive himself to be acting out, but showed signs of depression that he attributed to lack of popularity, his appearance and his poor academic performance.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Schmidt concluded that J. Fiessel had definite symptoms of an Oppositional Defiant Disorder, and that an ADHD diagnosis was also reasonable. He recommended that consideration be given to a prescribed medication for the ADHD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the school's request, J. Fiessel was also assessed at the Glen Eden Multimodal Treatment Centre. This assessment was done in April 1995, and the plaintiff was again diagnosed with ADHD.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school recommended that J. Fiessel take Ritalin, a prescription medication often prescribed for children with ADHD, and the medication was prescribed for him. The plaintiff's family doctor, who was then Dr. Donlevy, referred the plaintiff to Vancouver General Hospital in April 1994, after he had been taking the medication for a time. In a letter dated April 22, 1994, a physician and nurse at the VGH Child and Adolescent Psychiatric Outpatient Department reported to Dr. Donlevy that the plaintiff, J. Van Paridon and the staff at the plaintiff's school were pleased with the results of the plaintiff being on Ritalin, although J. Van Paridon remained concerned that the plaintiff's behaviour at school in the late afternoon and at home in the evenings continued to be erratic.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Hospital noted that both the plaintiff and J. Van Paridon had noticed a significant difference in the plaintiff's school work and general social functioning when he was on Ritalin. The Hospital recommended a noon-time dose of Ritalin to help with J. Fiessel's erratic afternoon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Despite the positive early signs, the plaintiff didn't like taking the medication, and often refused to take it. He testified that he didn't like taking any medication and that the Ritalin made him feel tired and complacent. A system was devised to have the medication administered to him at the school, but he resisted that as well, and eventually he just refused to take the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J. Van Paridon testified at trial that she did not believe that Ritalin helped the plaintiff, although she conceded that she must have reported, at the time, that it had been helpful. In any event, she did not insist that the plaintiff continue to take the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remained at the private school for two years, until the school indicated to J. Van Paridon that it did not want her son to continue there. In a letter dated March 1, 1995, the Dean of Academics at the School, responding to J. Van Paridon's request for a general outline of concerns about the plaintiff, indicated that the school's concerns in 1994/95 were about the plaintiff's behaviour, not about his academic performance. He reported that the plaintiff was usually disruptive in class, disrespectful to teachers, engaged in horseplay with other students, some leading to fights, used bullying and intimidation tactics on non-aggressive students, was verbally threatening to students and teachers, was constantly argumentative and used inappropriate language.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May 1995, J. Fiessel began seeing psychiatrist Dr. R. Golden, on a referral form his family doctor. Dr. Golden noted the referral was made because of a history of ADHD and difficult behaviour. He noted that the medication the plaintiff was taking was found to be "quite helpful", but that the plaintiff had become more outgoing, aggressive and defiant in the classroom in recent months, and had frequently been sent home from school. Dr. Golden recommended that he continue on Ritalin.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Golden continued to see the plaintiff after J. Fiessel was asked to leave the private school. The school reported that he had had a good year academically but was disruptive. After leaving that school, J. Fiessel attended a private Catholic high school in Burnaby. Dr. Golden noted that the medication the plaintiff was taking was decreased because the plaintiff felt "too slowed and depressed" during the first hour after taking the medication, and that the reduction seemed to be helpful, but that the plaintiff resisted taking the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Golden saw the plaintiff again on May 8, 1996. J. Fiessel had stayed at the Catholic high school for only five months after which his mother removed him because he was truant from exams. Dr. Golden noted that the plaintiff had gone to stay with his aunt and uncle for awhile and had then returned home. The plaintiff was not taking his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leaving the Catholic High School, the plaintiff went to a public high school in Vancouver, but eventually left without completing the requirements for graduation.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J. Van Paridon reported to Dr. Ternes that when J. Fiessel was in preschool, he got along well with the other children but that when he started Grade 1 he began having difficulty making friends. J. Fiessel testified that until he was in high school, he had trouble making friends and was often teased about his missing teeth, his appearance and his clothes. He played hockey from the time he was five until he was 17, and got along well with his fellow players, but did not see them socially outside of practices and games. He testified that his situation was a little better at the private school for students with learning problems, because the students wore uniforms, so there was less teasing about clothing. At the last high school he attended - a public high school - he was accepted and made close friendships, but testified that he did not remain in contact with those friends after leaving school. He has had a close friendship with his cousins David and Chris for many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Although J. Fiessel's social situation improved considerably at the last high school he attended, he had lost interest in school, did not do his homework and eventually dropped out because he wanted to get a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J. Fiessel and his sister K. Fiessel fought a lot when they were children and by the time they were adolescents, they were frequently in conflict. The plaintiff testified that at present, he and his sister rarely see each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When the plaintiff was 17, his behaviour at home towards his mother and sister became so unacceptable that his mother asked him to move out. The final confrontation occurred when the plaintiff asked to borrow his mother's car and she refused. He moved to his grandmother's home temporarily and then moved in with his father, stepmother, and step-siblings for one to two years. Eventually his father and stepmother separated. W. Fiessel and J. Fiessel moved out and continued to live together for another two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still in school, J. Fiessel had done work experience with his uncle's business, working on a paving crew. His first job, which he got about six weeks after leaving school, was at a garden store. He didn't like the job and got fired after two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After her son moved in with his father, J. Van Paridon continued to have a lot of contact with her son, and has continued to provide him with a lot of support. She spoke to W. Fiessel's uncle and he agreed to hire J. Fiessel to work at his service station as an attendant. After a short time the plaintiff was fired for tardiness. He got a job at another service station and a short time later, his uncle rehired him and he worked at his uncle's service station for a total of about four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has an older cousin with whom he has had a good relationship since childhood. In 2003, J. Fiessel moved out of his father's home and began living with his cousin. This cousin, who was a supervisor at an orthotics company, arranged for J. Fiessel to be employed there, and he worked there for two years manufacturing custom foot braces and orthotics. The cousin felt that J. Fiessel had difficulty comprehending instructions and did not always get along with his co-workers, and actually recommended that he be dismissed after a few months on the job, but management decided to retain J. Fiessel. The job paid about $11.50 an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Eventually the company was sold and J. Fiessel was let go. He was in receipt of employment insurance for about a year, and when that ran out his mother gave him money. In August 2003, his mother arranged an interview for him with a dental lab that manufactures braces and veneers. He got the job and has worked as a delivery person and courier for the lab since that time. He drives to various dental offices throughout the Lower Mainland, picking up and dropping off dental devices. When he started he was earning $10.44 an hour, but now makes $11.77.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testified that he likes this job. He makes about 20 stops in a day, and works by himself most of the day. There are four other drivers employed by the lab, and the plaintiff and his fellow drivers are members of the Teamsters' Union.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During the summer prior to trial, the plaintiff had also worked for his uncle at a construction site, running a compactor, and directing dump truck drivers. He worked four or five 12-hour shifts, earning $16.50 an hour and enjoyed the work. His uncle told him that if one of his employees left, he'd hire the plaintiff, and the plaintiff testified that he would take the job if offered, because it would pay more than his present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When the plaintiff's cousin sold his home, J. Fiessel was able to move into a home left vacant after the death of a relative; then got his own apartment where he continued to live at the time of trial. He continued to find managing his finances a challenge and had recently opened a joint account with his father into which his paycheques are deposited and out of which he pays his rent, hydro, and other necessary expenses.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EXPERT OPINION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support of the plaintiff's claim that he suffered a traumatic brain injury in the 1982 motor vehicle accident, the plaintiff presented expert opinion evidence from Dr. Donald Cameron, a neurologist; and from Dr. L. Krywaniuk, a neuropsychologist.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Cameron assessed the plaintiff in his office on August 23, 2005. The plaintiff was 25 years old at the time of that assessment. Dr. Cameron's opinion is that it is probable that the plaintiff did sustain a mild traumatic brain injury in the motor vehicle accident. It is clear, however, that Dr. Cameron's opinion was influenced by his acceptance of W. Fiessel's statement that the plaintiff was unresponsive and made no sounds for four to five minutes after the accident; and that he accepted J. Van Paridon's statements that the plaintiff had no problems before the accident and that there was a "distinct change in behaviour pattern" even before he attended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my earlier review of the evidence indicates, I have concluded that the plaintiff was not unresponsive and did not lose consciousness as a result of his accident injuries, and that it is probable that he had some emotional and behavioural problems before the accident, and did not manifest significant behavioural problems until he was in Kindergarten. It is also evident that Dr. Cameron attributed the symptoms of tinnitus to the accident, although I have already referred to the diagnosis of Dr. Riding indicating a diagnosis of infection.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his assessment of the plaintiff, Dr. Cameron found abnormal signs indicative of previous brain injury. These signs - called "frontal lobe release signs" are associated with previous injury to the frontal lobes of the brain. Dr. Cameron observed a "positive snout response", "positive Hoffman's response", "positive grasp response" and a "pathological spread of reflexes in the upper extremities". Dr. Cameron stated in his report that these reflexes are not normally seen in the majority of the adult population and are associated with injury or malfunction of the front lobes and pyramidal system of the brain.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Krywaniuk saw the plaintiff on November 2, 8, 27 and December 4 and 10, 2001 for a neuropsychological assessment. The plaintiff told Dr. Krywaniuk that he recalled being with his father when the accident occurred but could not recall anything else that happened, and believed that he had a loss of consciousness.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Tests administered by Dr. Krywaniuk to assess cognitive functioning indicated that the plaintiff has a verbal intelligence quotient at the 39th percentile, which is average; a performance intelligence quotient at the 19th percentile, which is low average; and a combined scale at the 27th percentile which is at the lower end of the average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For the purposes of his report, Dr. Krywaniuk assumed that there were indications of a mild traumatic brain injury at the time the accident occurred in December 1982. He assumed, for example, that "... there was an altered state of consciousness, amnesia or similar other symptoms...". His opinion was that the difficulties the plaintiff has demonstrated are consistent with a traumatic brain injury, but he stated in his report that he could not rule out of the possibility of a congenital learning disability. Dr. Krywaniuk was dubious about the diagnosis of ADHD, because of his belief that the plaintiff did not respond well to treatment with Ritalin.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the defendant's request, the plaintiff was assessed by psychologist Dr. M. Joschko, who also has expertise in neuropsychology, and specializes in assessing the neuropsychological and psychological problems that occur during childhood and adolescence. The plaintiff was also assessed by the defendant's neurology expert, Dr. P. Teal.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Joschko administered a 10-hour neuropsychological evaluation to the plaintiff on September 9 and 10, 2005, had interviews with the plaintiff on September 9 and 10, 2005, and also interviewed J. Van Paridon. He and all of the other experts also reviewed a number of the records and documents that are in evidence at this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cognitive testing administered by Dr. Joschko was consistent in some respects with the test scores obtained by Dr. Krywaniuk, but Dr. Joschko found no significant differences between the plaintiff's verbal and non-verbal intelligence scores. The plaintiff's overall IQ was found by Dr. Joschko to be in the low average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Joschko's opinion is that the intelligence test results are not indicative or diagnostic of brain injury or cognitive impairment. He found no pattern of motor deficits consistent with brain injury on the psychomotor tests administered. The plaintiff demonstrated low average tactile perception and tactile-kinesthetic problem solving abilities, not indicative of brain injury. He found no evidence of dysphasia or any other generalized language disorder consistent with significant traumatic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Joschko's opinion is that the pattern of worsening performance at school demonstrated by the plaintiff over time is typically seen in children with congenital learning disabilities and ADHD. He said that pattern can also occur in cases of moderate to severe traumatic brain injury, but would be unexpected, very rare and very unlikely after a mild traumatic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Joschko's opinion is that the problems demonstrated by the plaintiff during the neuropsychological assessment conducted by Dr. Joschko are related to depression, poor self esteem, episodes of decreased effort due to poor frustration tolerance, attentional problems due to the adult form of ADHD, and a learning disability involving problems in auditory processing, sequencing, and language comprehension. Dr. Joschko considered whether the plaintiff's ADHD could be a consequence of a traumatic brain injury, but ultimately concluded that it is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Joschko's review of the plaintiff's medical history left him with the impression that no loss of consciousness or concussion had been established, but that even if there had been a loss of consciousness of a duration of one to five minutes, current research indicates that the large majority of children who sustain a mild traumatic brain injury have no lasting effects, and that lasting effects are a "rare and unlikely outcome".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Neurologist Dr. P. Teal assessed the plaintiff on October 28, 2005. He was asked to consider two possible scenarios - that the plaintiff suffered no loss of consciousness following the accident, and that the plaintiff was quiet for up to five minutes before he started to cry.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Unlike Dr. Cameron, Dr. Teal observed no frontal lobe release signs. He was aware that Dr. Cameron had found these signs, and he conducted extensive tests of frontal lobe functions, including tests not administered by Dr. Cameron. He found that the plaintiff was able to perform all tests quickly and efficiently and that the tests for frontal lobe function were all normal. Overall, Dr. Teal found no evidence to support a conclusion that the plaintiff had sustained a pyramidal or frontal lobe injury. He found the plaintiff to be within the normal range for neurological function. It is his opinion that the plaintiff's learning and behavioural problems are not caused by injuries sustained in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All four of the expert witnesses were cross-examined at length and I will not attempt to reproduce that cross-examination here. Ultimately, I found the defendant's experts' testimony to be more compelling. Dr. Krywaniuk sometimes appeared to descend into the arena and to become an advocate for the plaintiff's cause, providing justifications for any apparent inconsistencies. Dr. Teal's explanations of the significance of positive frontal lobe release signs, and the unlikelihood that the signs would not consistently be present if they actually exist, were more persuasive than the testimony of Dr. Cameron. Dr. Teal impressed me as a fair, thoughtful, and compelling witness with a good knowledge of current research.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Other evidence relevant to the issue of causation concerns the plaintiff's sister, K. Fiessel. J. Van Paridon testified that her daughter was an average student, but K. Fiessel's school records, obtained by the defence, suggest otherwise. The school records indicate that K. Fiessel had learning and cognitive difficulties not dissimilar to her brother's, and although her behaviour was less problematic, also had similar behavioural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Krywaniuk noted that K. Fiessel's full scale intelligence quotient is not significantly higher than her brother's, (his is 98 and hers is 100); although he found her performance IQ to be higher than her verbal IQ, while he found the plaintiff's verbal IQ to be higher than his performance IQ. In three of the four index scores compiled by Dr. Krywaniuk - verbal comprehension, perceptual organization and working memory - the plaintiff actually performed as well as or better than his sister in testing. The only category in which she scored higher than her brother, and by a considerable margin, was in "processing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Like her brother, K. Fiessel did not complete high school and left school early. She moved out of her mother's home when she was 16 and moved in with a boyfriend. Like her brother, she has had a variety of jobs since leaving school. She worked as a cleaner in an apartment complex, did house cleaning, worked as a telemarketer, and in a retail outlet, and is now employed as a veterinary assistant. She has been taking courses on a part-time basis to try to complete the requirements for Grades 11 and 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K. Fiessel's learning difficulties had been identified by the time she was in Grade 2. During that year she was referred to the Learning Assistance Centre at her elementary school where she spent half an hour a day, four days a week, to improve her reading speed, fluency and comprehension as well as her spelling ability. Like her brother, one of her weaknesses was in her ability to follow directions and recognize sequence of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When K. Fiessel was 10, she was referred to a registered psychologist employed by the school district for assessment because of behaviour and academic difficulties. According to the psychologist's report, her teachers described her as having problems attempting and completing work and problems interacting with her peers. She was reported to be "often disruptive in class" and to have "very low self-esteem". The psychologist's report indicates that during testing she was distractible, restless and made an inconsistent effort, and became easily frustrated and discouraged and then tended to become non-compliant. Her teachers rated her high on hyperactivity and conduct disorder scales, below the 2nd percentile in social skills and above the 98th percentile in problem behaviours. Individual and family counselling was recommended.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K. Fiessel was also referred to Dr. Golden as a child, was also diagnosed with attention deficit hyperactivity disorder, and was also prescribed Ritalin.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She continued to receive additional assistance at school through the learning assistance centre, and J. Van Paridon met with her teacher to discuss managing her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K. Fiessel's year end school report for Grade 8 contains comments about her that are similar to descriptions of J. Fiessel at about the same age. The report indicates that K. Fiessel has ADHD, but was not medicated for her Grade 8 year. The report says she experienced difficulty concentrating in class and at home, that she often required one-to-one support to grasp new concepts, and that if the support was not available she would give up. The report indicates that K. Fiessel did not receive credit for Social Studies, and was very close in Math; that she needs instructions clearly explained and had her examination in Science read to her to help her understand questions. The report also indicated that although K. Fiessel was usually quiet in class, she acted out when distressed or anxious, and alternative programs were pursued due to her difficulty with distractions. There were discussions about K. Fiessel entering high school in a program adapted to meet her special learning needs.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it does not appear that K. Fiessel experienced the teasing and social isolation encountered by her brother, and was able to cope more effectively with her lack of academic success, the striking similarities in the academic and behavioural problems referred to suggests that the origins of J. Fiessel's cognitive difficulties are more likely congenital than the rest of trauma.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Considering the evidence relating to the issue of traumatic brain injury as a whole, it falls far short of proof on a balance of probabilities. While the evidence does not rule out the possibility of traumatic brain injury, it does not rise above the realm of mere possibility, and there are other explanations for the plaintiff's difficulties that are equally or more likely. The plaintiff has not proved that he suffered a brain injury in the motor vehicle accident or that his problems in school, and behaviourally, were caused or contributed to by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Earlier in these Reasons I referred to the dental injuries sustained by the plaintiff, and the temporary psychological and emotional trauma resulting from the accident, the pain of his injuries, his trip to the hospital by ambulance, and time spent at the hospital before his parents arrived to join him. J. Van Paridon testified that the plaintiff seemed lethargic in the days following the accident and she was sufficiently concerned to arrange for her mother to care for the plaintiff. However, by early January she returned the plaintiff to his regular daycare arrangements. I conclude from that that within three weeks after the accident he had made a good recovery from the dental and mouth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referred earlier to the dental treatment the plaintiff required from Dr. Boyle the day after the accident, and the later procedure under general anaesthetic to remove the tip of one of the broken teeth which was left embedded in the gum. I think it is reasonable to conclude that the subsequent extraction of the tooth tip probably resulted in a further episode of pain of a few days duration, and further emotional upset.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While I am not persuaded that the plaintiff has established that the malocclusion problems referred to in Dr. Yip's letter resulted from the accident injuries, I accept that some of the plaintiff's temporary teeth became discoloured after the accident, and that the injury to the teeth played some part in the late arrival of permanent teeth.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Because counsel focused their attention on the traumatic brain injury issue, little attention was paid to the issue of the appropriate quantum of damages in the event that the only injuries were found to be the mouth and dental injuries, and the emotional and psychological sequelae resulting from the accident and the facial trauma.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Counsel for the defendant referred the Court to the decision in </w:t>
      </w:r>
      <w:r>
        <w:rPr>
          <w:rFonts w:ascii="arial" w:eastAsia="arial" w:hAnsi="arial" w:cs="arial"/>
          <w:b/>
          <w:i/>
          <w:color w:val="000000"/>
          <w:sz w:val="20"/>
          <w:lang w:val="en-US" w:eastAsia="en-US" w:bidi="ar-SA"/>
        </w:rPr>
        <w:t>Cameron (Guardian ad litem of) v. Deering</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[1999] B.C.J. No. 275</w:t>
        </w:r>
      </w:hyperlink>
      <w:r>
        <w:rPr>
          <w:rFonts w:ascii="arial" w:eastAsia="arial" w:hAnsi="arial" w:cs="arial"/>
          <w:color w:val="000000"/>
          <w:sz w:val="20"/>
          <w:lang w:val="en-US" w:eastAsia="en-US" w:bidi="ar-SA"/>
        </w:rPr>
        <w:t xml:space="preserve"> (S.C.). In that case the plaintiff, who had been 11 years old at the time of the accident, was struck by a truck while crossing the road on his way to school. He suffered a bruised knee, and soft tissue injuries to his back. In addition, two of his lower front permanent teeth were broken, and had to be repaired with "post and core build-ups". There was a possibility he would require porcelain crowns. The plaintiff was awarded non-pecuniary damages of $8,000.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this case, I find the plaintiff's young age to be a significant factor. I am satisfied that the injuries were painful and that the plaintiff was also emotionally and psychologically affected by the trauma of the events, albeit temporarily, as demonstrated by the lethargy the plaintiff's mother noted during the Christmas holidays following the accident. There is also the fact that unlike the plaintiff in </w:t>
      </w:r>
      <w:r>
        <w:rPr>
          <w:rFonts w:ascii="arial" w:eastAsia="arial" w:hAnsi="arial" w:cs="arial"/>
          <w:b/>
          <w:i/>
          <w:color w:val="000000"/>
          <w:sz w:val="20"/>
          <w:lang w:val="en-US" w:eastAsia="en-US" w:bidi="ar-SA"/>
        </w:rPr>
        <w:t>Cameron v. Deering</w:t>
      </w:r>
      <w:r>
        <w:rPr>
          <w:rFonts w:ascii="arial" w:eastAsia="arial" w:hAnsi="arial" w:cs="arial"/>
          <w:color w:val="000000"/>
          <w:sz w:val="20"/>
          <w:lang w:val="en-US" w:eastAsia="en-US" w:bidi="ar-SA"/>
        </w:rPr>
        <w:t>, J. Fiessel had to undergo two dental procedures, one of them under general anaesthetic. He lost the two temporary teeth earlier than he otherwise would have, and these could not be replaced by a dental device. There was discoloration of other teeth. I have also concluded that the descent of his permanent teeth may have been affected by the early loss of his temporary teeth, and the plaintiff and his mother testified that he became self-conscious about the missing teeth.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find the appropriate award in the circumstances to be $18,000 for non-pecuniary damages. There is no evidence about any special costs incurred in relation to the dental treatment and I make no award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other claims for damages are dismissed, including the "in trust" claim advanced on behalf of J. Van Paridon.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am aware of no factors that would disentitle the plaintiff to an award of costs on the usual scale, Scale 3. If there have been settlement offers, or there are other factors relevant to costs that the parties wish the Court to consider, they may make submissions in writing, or make arrangements with the trial coordinator to return to make oral submissions about costs. If written submissions are to be made, they should be filed by September 15, 2006. If oral submissions are requested, the request should be submitted to the trial coordinator by September 15, 2006. If written submissions are not filed, and no request has been made for a further hearing, by September 16, 2006, the order shall be that the plaintiff be paid his costs of the action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BAKER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July 21, 2006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On page 2, paragraph 1, first sentence should read: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 On December 16, 19</w:t>
      </w:r>
      <w:r>
        <w:rPr>
          <w:rFonts w:ascii="arial" w:eastAsia="arial" w:hAnsi="arial" w:cs="arial"/>
          <w:b/>
          <w:i/>
          <w:color w:val="000000"/>
          <w:sz w:val="20"/>
          <w:lang w:val="en-US" w:eastAsia="en-US" w:bidi="ar-SA"/>
        </w:rPr>
        <w:t>8</w:t>
      </w:r>
      <w:r>
        <w:rPr>
          <w:rFonts w:ascii="arial" w:eastAsia="arial" w:hAnsi="arial" w:cs="arial"/>
          <w:color w:val="000000"/>
          <w:sz w:val="20"/>
          <w:lang w:val="en-US" w:eastAsia="en-US" w:bidi="ar-SA"/>
        </w:rPr>
        <w:t>2, the plaintiff, ..."</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Fitzen v. Savoy, [2003] B.C.J. No. 1265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12804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1265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814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814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Charles Fitzen and the Estate of James Fitzen, deceased by his personal Respresentative, Debbie Jackman, appellants, and William Joseph Savoy,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Animals — On highway — Evidence and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5"/>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defendant Fitzen from the judgment awarding damages to the plaintiff Savoy for injuries he suffered after his vehicle struck a cow owned by Fitzen. At the time of the collision, the cow was loose on the highway. The trial judge found Fitzen to have been negligent for failing to keep his recently purchased cows in his corral knowing it was likely that they would get loose and try to return to the home of their former owners. The trial judge found that Fitzen had released the cattle from his corral. He refused to allow hearsay evidence from the original owner of the cows as to statements made by Fitzen, who was deceased at the time of trial, about the state of his fences.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2"/>
            <w:bookmarkEnd w:id="41"/>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Savoy's claim was dismissed. The original owner's testimony met the requirements of necessity and reliability. He should have been permitted to testify as to his conversations with Fitzen about the state of the fences. There was no evidence that supported the trial judge's finding that Fitzen let the cows out of the corral. The submission that there was no explanation for the escape of the cows was not sufficient to establish that Fitzen either intentionally let the cows out or that he had not taken reasonable care in preparing to receive and keep the cows. On the evidence otherwise available to the trial judge, Savoy's claim should have been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1"/>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Livestock Act, </w:t>
      </w:r>
      <w:hyperlink r:id="rId93" w:history="1">
        <w:r>
          <w:rPr>
            <w:rFonts w:ascii="arial" w:eastAsia="arial" w:hAnsi="arial" w:cs="arial"/>
            <w:i/>
            <w:color w:val="0077CC"/>
            <w:sz w:val="20"/>
            <w:u w:val="single"/>
            <w:shd w:val="clear" w:color="auto" w:fill="FFFFFF"/>
            <w:lang w:val="en-US" w:eastAsia="en-US" w:bidi="ar-SA"/>
          </w:rPr>
          <w:t>R.S.B.C. 1996, c. 270, s. 11</w:t>
        </w:r>
      </w:hyperlink>
      <w:r>
        <w:rPr>
          <w:rFonts w:ascii="arial" w:eastAsia="arial" w:hAnsi="arial" w:cs="arial"/>
          <w:color w:val="000000"/>
          <w:sz w:val="20"/>
          <w:lang w:val="en-US" w:eastAsia="en-US" w:bidi="ar-SA"/>
        </w:rPr>
        <w:t xml:space="preserve">(1). Small Claims Act, </w:t>
      </w:r>
      <w:hyperlink r:id="rId94" w:history="1">
        <w:r>
          <w:rPr>
            <w:rFonts w:ascii="arial" w:eastAsia="arial" w:hAnsi="arial" w:cs="arial"/>
            <w:i/>
            <w:color w:val="0077CC"/>
            <w:sz w:val="20"/>
            <w:u w:val="single"/>
            <w:shd w:val="clear" w:color="auto" w:fill="FFFFFF"/>
            <w:lang w:val="en-US" w:eastAsia="en-US" w:bidi="ar-SA"/>
          </w:rPr>
          <w:t>R.S.B.C. 1996, c. 430, ss. 12</w:t>
        </w:r>
      </w:hyperlink>
      <w:r>
        <w:rPr>
          <w:rFonts w:ascii="arial" w:eastAsia="arial" w:hAnsi="arial" w:cs="arial"/>
          <w:color w:val="000000"/>
          <w:sz w:val="20"/>
          <w:lang w:val="en-US" w:eastAsia="en-US" w:bidi="ar-SA"/>
        </w:rPr>
        <w:t>, 13, 16(1).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5"/>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Jackman, appeared in person. D.F. Collins, for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8"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MELNICK J."/>
            <w:bookmarkEnd w:id="45"/>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decision of a provincial court judge in small claims court. In that decision, William Joseph Savoy ("Mr. Savoy"), was awarded damages to compensate him for injuries he suffered after he struck a cow of the appellant, James Fitzen ("Mr. Fitzen"), with his car. At the time of the collision, the cow was loose on a highway. Mr. Fitzen raises a number of grounds of appeal, including that the trial judge erred in law by not admitting certain hearsay evidence, and by basing his decision on facts not in evidence.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early morning of January 12, 2000, Mr. Savoy and his wife were travelling west on Highway No.3 near Fernie. As they approached the Morrissey Road intersection, they came upon three cows that Mr. Savoy said were spanning the width of the highway. Mr. Savoy's car struck one of the cows, resulting in damage to his car. Although he received a settlement for the damages to his vehicle from his insurer, he had to pursue court action for this personal injury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was admitted that the cow struck by Mr. Savoy's car belonged to Mr. Fitzen. A Mr. Harry Huisman ("Mr. Huisman") testified that he sold three cows to Mr. Fitzen in the late afternoon or early evening of January 11, 2000. The following day, Mr. Huisman gave evidence that he heard that the cows had escaped, and that one of the cows had been in a collision with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judge found James Fitzen to be negligent in that he failed to keep his recently purchased cows in his corral, knowing that it was likely that they would get loose and try to return to the home of their former owners. He awarded Mr. Savoy $6,000 for non-pecuniary damages. He also ordered special damages in the amount of $103, costs of $248, and $676.84 interest.</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Section 12 of the Small Claims Act,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appeal to the Supreme Court under this Act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brought to review the order under appeal on questions of fact and on questions of law,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ust not be heard as a new trial unless the Supreme Court orders that the appeal be heard in that court as a new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test to be applied on such a review is whether the trial judge was "clearly wrong" in his apprehension of the facts or in his application of the law. Or, that the trial judge made a palpable and overriding error, "that is, the trial judge has made a manifest error, has ignored conclusive or relevant evidence, has misunderstood the evidence or has drawn erroneous conclusions from it..." Tremblay v. McLauchlan, </w:t>
      </w:r>
      <w:hyperlink r:id="rId95" w:history="1">
        <w:r>
          <w:rPr>
            <w:rFonts w:ascii="arial" w:eastAsia="arial" w:hAnsi="arial" w:cs="arial"/>
            <w:i/>
            <w:color w:val="0077CC"/>
            <w:sz w:val="20"/>
            <w:u w:val="single"/>
            <w:shd w:val="clear" w:color="auto" w:fill="FFFFFF"/>
            <w:lang w:val="en-US" w:eastAsia="en-US" w:bidi="ar-SA"/>
          </w:rPr>
          <w:t>[2001] B.C.J. No. 1403</w:t>
        </w:r>
      </w:hyperlink>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2001 BCCA 444</w:t>
        </w:r>
      </w:hyperlink>
      <w:r>
        <w:rPr>
          <w:rFonts w:ascii="arial" w:eastAsia="arial" w:hAnsi="arial" w:cs="arial"/>
          <w:color w:val="000000"/>
          <w:sz w:val="20"/>
          <w:lang w:val="en-US" w:eastAsia="en-US" w:bidi="ar-SA"/>
        </w:rPr>
        <w:t xml:space="preserve"> at p. 13. (See also Lloyd Investments v. Weatherby, </w:t>
      </w:r>
      <w:hyperlink r:id="rId96" w:history="1">
        <w:r>
          <w:rPr>
            <w:rFonts w:ascii="arial" w:eastAsia="arial" w:hAnsi="arial" w:cs="arial"/>
            <w:i/>
            <w:color w:val="0077CC"/>
            <w:sz w:val="20"/>
            <w:u w:val="single"/>
            <w:shd w:val="clear" w:color="auto" w:fill="FFFFFF"/>
            <w:lang w:val="en-US" w:eastAsia="en-US" w:bidi="ar-SA"/>
          </w:rPr>
          <w:t>[2002] B.C.J. No. 914</w:t>
        </w:r>
      </w:hyperlink>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2002 BCSC 650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Fitzen appeals the trial judge's decision on the following grounds: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determination that Mr. Fitzen had released cattle from his corral when no such evidence was presented to the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determination that Mr. Fitzen released cattle from the corral knowing full well that they would most probably try to make a run for it to get back to Mr. Huisman's property, when no such evidence was presented to the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determine that the collision between the respondent's vehicle and the cattle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respondent, or at very least, was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respondent;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admit hearsay evidence of an independent witness, Mr. Huisman, as permitted by the Small Claims Court Act and Rules when circumstances and fairness required the admission of the hearsay evidence as a result of death of Mr. Fitzen.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prevent counsel for the Claimant from interrupting a witness thus preventing him from providing full and free testimony;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dismissing Mr. Fitzen's counterclaim (this ground was not pursued on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Section 13 of the Small Claims Act states that:</w:t>
      </w:r>
      <w:r>
        <w:rPr>
          <w:rFonts w:ascii="arial" w:eastAsia="arial" w:hAnsi="arial" w:cs="arial"/>
          <w:sz w:val="20"/>
          <w:lang w:val="en-US" w:eastAsia="en-US" w:bidi="ar-SA"/>
        </w:rPr>
        <w:cr/>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appeal, the Supreme Court may do one or more of the following:</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that could be made by the Provincial Court;</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reasonable terms and conditions in an order;</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additional order that it considers just;</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by order award costs to any party to the appeal in accordance with the Supreme Court Rules.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Hearsay Not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will first address the allegation that the trial judge refused to allow a witness, Mr. Huisman, to testify as to statements made by the late Mr. Fitzen at the time the cows were delivered and after they were recovered the following day. Mr. Fitzen argues that the trial judge should have allowed Mr. Huisman's testimony in this respect as it fell under one of the traditional exceptions to the rule against hearsay, that being the death of the Mr. Fitzen. The authority for this position, the "principled approach" to the hearsay rule, can be found in R. v. Khan </w:t>
      </w:r>
      <w:hyperlink r:id="rId97" w:history="1">
        <w:r>
          <w:rPr>
            <w:rFonts w:ascii="arial" w:eastAsia="arial" w:hAnsi="arial" w:cs="arial"/>
            <w:i/>
            <w:color w:val="0077CC"/>
            <w:sz w:val="20"/>
            <w:u w:val="single"/>
            <w:shd w:val="clear" w:color="auto" w:fill="FFFFFF"/>
            <w:lang w:val="en-US" w:eastAsia="en-US" w:bidi="ar-SA"/>
          </w:rPr>
          <w:t>(1990), 59 C.C.C. (3d) 92</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principled approach, as explained in Khan, provides that hearsay will be admitted only when the proposed evidence is both necessary and reliable. Necessity may be shown in the case of the death, unavailability or incompetence to testify of the person in question. Reliability is proven if the proffered hearsay was made in circumstances that provide a convincing guarantee as to the truth of what was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the Small Claims Act states:</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Provincial Court may admit as evidence in a proceeding under this Act or the rules any oral or written testimony, record or other thing that the court considers is credible or trustworthy and is relevant to the matter being heard, even though the testimony, record or other thing is not admissible as evidence in any other court under the laws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testimony the appellant wished to elicit from Mr. Huisman at trial concerned statements made to him by Mr. Fitzen in part at the time the cows were delivered. Lines 20-29 of the transcript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when was the agreement made that Mr. Fitzen would purchase these cows from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October, I believe it was, in 1999.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when were these cows delivered?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January 11th.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There's a time difference there. Can you tell me why there was a time difference?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reason being that he did not have his fences in order and said that when he did get them repaired and ready for them, that he would call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Mr. Savoy objected to this testimony, citing the rule against hearsay. When asked by the court what information Mr. Fitzen was trying to elicit, his representative stated at p. 29, lines 42-45: "I don't want to state what he has to say, but it's basically the fact that the cows were not delivered until the fence was properly put up." Later, in response to questions from the court, Mr. Huisman attempted to make a further statement concerning the fact that Mr. Fitzen had said that he could not identify where the cows had escaped from, but the trial judge chose not to accept this statement because of the hearsay rule. (p. 33, lines 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transcript reveals very little in the way of discussion concerning the testimony and the resulting objections; there is just an indication that Mr. Dehoog, who was conducting the questioning for Mr. Fitzen, was dissuaded from pursuing this line of inquiry as it constituted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much of the evidence concerned how the cows might have escaped Mr. Fitzen's property, the state of his fences was of central concern. The trial judge stated in his reasons that "[t]here is no evidence before the court of the state of the Fitzen fences, but I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James Fitzen because he released them from the corral..." Aside from the fact that the transcript does not reveal any evidence proving that Mr. Fitzen did release the cows from the corral (an issue I will deal with later), it is reasonable to assume that had Mr. Huisman been permitted to testify as to his discussions with Mr. Fitzen, some evidence as to the state of the fences would have been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Mr. Fitzen had died by the time this matter went to trial and therefore he was not available to testify as to the state of his fences, Mr. Huisman's testimony pertaining to his conversations with Mr. Fitzen meets the test of necessity. In addition, there is nothing to suggest that Mr. Huisman's testimony would not be reliable. He did not have a personal stake in the result of the trial and, to all appearances, he would have just testified to what he clearly remembered Mr. Fitzen saying. As such, I find that Mr. Huisman should have been permitted to testify as to his conversations with Mr. Fitzen about the state of the fences. This testimony would have fallen squarely within the exception to the hearsay rule.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now turn to the ground of appeal dealing with the evidence used to arrive at the decision. Mr. Fitzen points to para. 9 of the trial judge's decision, in which he finds that Mr. Fitzen: "released [the cows] from the corral knowing full well that they would most probably try to make a run for it to get back to the Huisman property. Mr. Fitzen failed to keep them in the corral when that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Fitzens quite rightly point out that no evidence in support of that finding was presented at trial. The evidence was that the cows were on the highway, and that no one could determine how they escaped Mr. Fitzen's property. Mr. Huisman testified at p. 30, lines 27-29 that he knew that Mr. Fitzen had made repairs to his existing fences and also had put up new fences. In fact, during the cross examination of Mr. Huisman, the following exchange took place at p. 31, lines 30 - 37: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fair to assume that if the cattle get out, the fences are not in good repair?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necessarily. A wild animal could have gone through and broke the fence down. There's other things that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no evidence of any of that, though, is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lot of things could have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at p. 32, lines 2 - 10: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cow can jump a fence at any - at any given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Three of them, just like that deer?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couldn't say as to why they got out. I do not know that. How they got out, I do not know. All I know is that the condition I've seen those - the area that I dropped them off is good.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have no idea what he [Mr. Fitzen] did with them after you dropped them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no idea.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was no other testimony or evidence presented at trial, other than sheer guesswork, that would illuminate how the cows came to be on the highway in the early morning hours of January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11(1) of the Livestock Act, </w:t>
      </w:r>
      <w:r>
        <w:rPr>
          <w:rFonts w:ascii="arial" w:eastAsia="arial" w:hAnsi="arial" w:cs="arial"/>
          <w:i/>
          <w:color w:val="000000"/>
          <w:sz w:val="20"/>
          <w:lang w:val="en-US" w:eastAsia="en-US" w:bidi="ar-SA"/>
        </w:rPr>
        <w:t>R.S.B.C. 1996, c. 270</w:t>
      </w:r>
      <w:r>
        <w:rPr>
          <w:rFonts w:ascii="arial" w:eastAsia="arial" w:hAnsi="arial" w:cs="arial"/>
          <w:color w:val="000000"/>
          <w:sz w:val="20"/>
          <w:lang w:val="en-US" w:eastAsia="en-US" w:bidi="ar-SA"/>
        </w:rPr>
        <w:t>, states that the owner of livestock is liable for any damage caused by that livestock while it is at large contrary to the Act or regulations. It goes on to say, however, that this will not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owner's livestock was at large as a result of an act or omission by a person over whom the owner had no control, </w:t>
      </w:r>
      <w:r>
        <w:rPr>
          <w:rFonts w:ascii="arial" w:eastAsia="arial" w:hAnsi="arial" w:cs="arial"/>
          <w:b/>
          <w:color w:val="000000"/>
          <w:sz w:val="20"/>
          <w:lang w:val="en-US" w:eastAsia="en-US" w:bidi="ar-SA"/>
        </w:rPr>
        <w:t>or the owner took reasonable care to ensure that the livestock was not capable of escaping and being at large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submission that there was no explanation for the cows' escape cannot suffice to establish that Mr. Fitzen either intentionally let the cows out, or that he had not taken reasonable care in preparing to receive and keep the cows. Of course, the burden was on Mr. Fitzen to demonstrate that he did take reasonable care, once the cows were found to be at large. Had even the evidence of Mr. Huisman I have referred to in these reasons been before the trial judge, that would have demonstrated that Mr. Fitzen had taken reasonable care.</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the trial judge erred in law in failing to admit hearsay evidence of statements made by Mr. Fitzen. I also find that the trial judge was clearly wrong in finding that Mr. Fitzen intentionally and negligently let the cows out of the fenced corral.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the error with respect to the failure of the trial judge to admit the hearsay evidence would ordinarily demand a new trial, I conclude that on the evidence otherwise available to the trial judge, the claim of Mr. Savoy should have been dismissed. There was sufficient evidence before the trial judge, particularly if one includes the statements of Mr. Huisman attributed to Mr. Fitzen, from which he should have concluded that Mr. Fitzen had taken reasonable care to ensure that the cows were not capable of escaping and being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light of these conclusions, I need not deal with the other grounds of appeal that were argued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appeal is allowed, the decision of the trial judge is set aside, and the claim of Mr. Savoy is dismissed. The estate of Mr. Fitzen is entitled to its costs of this appeal on Scale 3 and such costs as are permitted for the small claims court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 w:history="1">
        <w:r>
          <w:rPr>
            <w:rFonts w:ascii="arial" w:eastAsia="arial" w:hAnsi="arial" w:cs="arial"/>
            <w:b/>
            <w:bCs/>
            <w:i/>
            <w:color w:val="0077CC"/>
            <w:kern w:val="32"/>
            <w:sz w:val="28"/>
            <w:szCs w:val="32"/>
            <w:u w:val="single"/>
            <w:shd w:val="clear" w:color="auto" w:fill="FFFFFF"/>
            <w:lang w:val="en-US" w:eastAsia="en-US" w:bidi="ar-SA"/>
          </w:rPr>
          <w:t>Foglia v. Edwards, [2007] B.C.J. No. 1301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Rossland,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Rossland Registry No. 8713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861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158 A.C.W.S. (3d) 636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Judicial Review Procedure Act, R.S.B.C. 1996, c. 241 AND IN THE MATTER OF a Complaint Before the British Columbia Human Rights Tribunal Between John Foglia, and Champion Cabs, Trail, B.C., Petitioner, and Peter Edwards, Respondent, and The Decision of the British Columbia Human Rights Tribunal in the Complaint of John Foglia, Champion Cabs, against Peter Edwards,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Human rights law — Administration and enforcement — Judicial review — Application for judicial review allowed in part — A Human Rights Tribunal found that the petitioners discriminated against the respondent by refusing him taxi service based on his physical disability — The petitioners expressed concern that the respondent's method of entry into their cars created a risk of unexpected air bag release — The Tribunal found no reasonable justification for the petitioners' refusal and awarded monetary damages — The reviewing court upheld the finding of discrimination as reasonable — The monetary penalty was set aside, as the petitioners were not accorded a right to respond on the issue of remedy.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Human rights law — Discrimination — Context — Goods, services and facilities — Grounds — Mental or physical disability — Application for judicial review allowed in part — A Human Rights Tribunal found that the petitioners discriminated against the respondent by refusing him taxi service based on his physical disability — The petitioners expressed concern that the respondent's method of entry into their cars created a risk of unexpected air bag release — The Tribunal found no reasonable justification for the petitioners' refusal and awarded monetary damages — The reviewing court upheld the finding of discrimination as reasonable — The monetary penalty was set aside, as the petitioners were not accorded a right to respond on the issue of remedy.</w:t>
      </w:r>
    </w:p>
    <w:p>
      <w:pPr>
        <w:jc w:val="both"/>
        <w:rPr>
          <w:rFonts w:ascii="arial" w:eastAsia="arial" w:hAnsi="arial" w:cs="arial"/>
          <w:sz w:val="20"/>
          <w:lang w:val="en-US" w:eastAsia="en-US" w:bidi="ar-SA"/>
        </w:rPr>
      </w:pPr>
      <w:bookmarkStart w:id="47" w:name="Counsel_6"/>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Petitioner, appearing on his own behalf: J. Foglia.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Respondent, appearing on his own behalf: P.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British Columbia Human Rights Tribunal: M. Tyshynski.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6"/>
      <w:bookmarkEnd w:id="48"/>
      <w:r>
        <w:pict>
          <v:line id="_x0000_s1062" style="position:absolute;z-index:2517678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McEWAN J."/>
            <w:bookmarkEnd w:id="49"/>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judicial review of a decision of the British Columbia Human Rights Tribunal, indexed as , </w:t>
      </w:r>
      <w:hyperlink r:id="rId105" w:history="1">
        <w:r>
          <w:rPr>
            <w:rFonts w:ascii="arial" w:eastAsia="arial" w:hAnsi="arial" w:cs="arial"/>
            <w:i/>
            <w:color w:val="0077CC"/>
            <w:sz w:val="20"/>
            <w:u w:val="single"/>
            <w:shd w:val="clear" w:color="auto" w:fill="FFFFFF"/>
            <w:lang w:val="en-US" w:eastAsia="en-US" w:bidi="ar-SA"/>
          </w:rPr>
          <w:t>[2006] B.C.H.R.T.D. No. 517</w:t>
        </w:r>
      </w:hyperlink>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2006 BCHRT 517</w:t>
        </w:r>
      </w:hyperlink>
      <w:r>
        <w:rPr>
          <w:rFonts w:ascii="arial" w:eastAsia="arial" w:hAnsi="arial" w:cs="arial"/>
          <w:color w:val="000000"/>
          <w:sz w:val="20"/>
          <w:lang w:val="en-US" w:eastAsia="en-US" w:bidi="ar-SA"/>
        </w:rPr>
        <w:t>, (the "Decision"), in which the Tribunal held that the John Foglia and Champion Cabs, the petitioners in this judicial review, had discriminated against Peter Edwards, contrary to s. 8 of the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November 28, 2005, Mr. Edwards filed a complaint alleging discrimination against Mr. Foglia and Champion Cabs, on the basis that they had refused to provide a service or facility customarily available to the public, based on physical disability, contrary to s. 8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hearing of the complaint took place on August 9, 2006, and the Tribunal issued its Decision on October 19,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Tribunal briefly set out its findings of fact in paras. 3 to 11,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facts in this case are, largely,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Champion services the city of Trail. Apart from owning Champion, Mr. Foglia also owns a towing company.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Edwards mobilizes himself by using wrist held crutches; he is otherwise unable to use his legs. Mr. Edwards uses Handidart services in Trail to move around the city. When it is fully booked, Handidart refers Mr. Edwards to Champion. Until recently, Mr. Edwards was able to rely on Champion as his back-up transportation service. If Mr. Edwards cannot book with Handidart and cannot rely on Champion as his back-up service, he must either rely on friends for transportation or forego travel. Mr. Edwards' girlfriend can transport him, but she works shifts and so when she is not available, he is, as he put it, "stuck at home".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Champion has refused to provide taxi service to Mr. Edwards as a result of certain events with Mr. Foglia's towing company.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Foglia's towing company was recently sued. Apparently, an automobile owner resisted attempts to tow his vehicle. As a result, the tow truck driver backed up and hit the resistant owner. The owner was injured and sued the towing company. Mr. Foglia therefore became concerned about the liability he believes is associated with transporting Mr. Edwards in his Champion cabs.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Evidence about transporting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request of Mr. Edwards, I observed him seating himself in a taxi provided by Champion.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Edwards propels himself to the passenger side door by using his crutches and swinging his legs. Once the taxi driver opens the front passenger door, Mr. Edwards hands over his crutches to the driver and supports himself with his right hand on the passenger door and leans his upper body across to the steering wheel, where he places his left hand. Then, using his left hand on the steering wheel as support, he lifts his legs into the taxi, after which he turns and sits upright, facing front.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Foglia said that Champion is concerned about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possibility of damage to the steering column by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way in which Mr. Edwards pulls on it. Mr. Van Rassel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said that he and other drivers were worried that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air bag, stored in the steering wheel column, might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release as a result of the way in which Mr. Edwards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pulls on the steering wheel, in which case,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Edwards might be hurt. Mr. Van Rassel also said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that he and the drivers were concerned about giving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Edwards other physical support getting into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taxi, both from the perspective of hurting Mr.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Edwards in some way, or causing harm to themselves.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respondents called no expert evidence to support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their concerns.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Edmison, owner of a small engine repair business, is a friend of Mr. Edwards and has frequently given him rides. He said that in all the years he has assisted Mr. Edwards with transport, he has never had such a concern. Further, his opinion was that there was no way that Mr. Edwards' use of the steering wheel to get into a vehicle could either cause damage to the steering column or release the air bag.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Tribunal found that Mr. Edwards had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and that Mr. Foglia and Champion Cabs had failed to establish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reasonable justification for refusing to transport Mr. Edwards. The Tribunal went on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respondents did not provide any evidence that their concerns about the air-bag release and steering column were legitimate. I find that the concerns are clearly impressionistic. Furthermore, Mr. Van Rassel's testimony about potential liability if the drivers or Mr. Edwards were hurt, was also speculative.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Other than the evidence about the potential problems that Champion said were created by transporting Mr. Edwards, the respondents did not provide any evidence that they had considered an accommodation or even had discussions with Mr. Edwards. The respondents provided no evidence that they had considered other ways of accommodating Mr. Edwards. Further, there was no evidence that they discussed with Mr. Edwards, or explored other means he might use to seat himself in the taxi cabs.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a result, I had no evidence on which to find that the respondents had of a </w:t>
            </w:r>
            <w:r>
              <w:rPr>
                <w:rFonts w:ascii="arial" w:eastAsia="arial" w:hAnsi="arial" w:cs="arial"/>
                <w:i/>
                <w:color w:val="000000"/>
                <w:sz w:val="18"/>
                <w:lang w:val="en-US" w:eastAsia="en-US" w:bidi="ar-SA"/>
              </w:rPr>
              <w:t>bona fide</w:t>
            </w:r>
            <w:r>
              <w:rPr>
                <w:rFonts w:ascii="arial" w:eastAsia="arial" w:hAnsi="arial" w:cs="arial"/>
                <w:color w:val="000000"/>
                <w:sz w:val="18"/>
                <w:lang w:val="en-US" w:eastAsia="en-US" w:bidi="ar-SA"/>
              </w:rPr>
              <w:t xml:space="preserve"> and reasonable justification for not providing transportation services to Mr. Edwards.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Therefore, I find that the respondents discriminated against Mr. Edwards, contrary to s. 8 of the </w:t>
            </w:r>
            <w:r>
              <w:rPr>
                <w:rFonts w:ascii="arial" w:eastAsia="arial" w:hAnsi="arial" w:cs="arial"/>
                <w:i/>
                <w:color w:val="000000"/>
                <w:sz w:val="18"/>
                <w:lang w:val="en-US" w:eastAsia="en-US" w:bidi="ar-SA"/>
              </w:rPr>
              <w:t>Code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Tribunal ordered that Mr. Foglia and Champion Cabs cease their contravention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and refrain from committing the same or a similar contravention and that they pay Mr. Edwards $2,500 for compensation for injury to the complainant's feelings, dignity, and self-respect.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petition was filed December 4, 2006. Counsel appeared, on behalf of the British Columbia Human Rights Tribunal, to offer assistance to the court, but took no position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Foglia expresses a number of concerns in the petition and supporting materials. He has helpfully set out each of these in the form of a quotation from the Tribunal's reasons followed by a comment on that finding. I will not reproduce these, but will briefly summarize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should note, as a preface to my consideration of Mr. Foglia's concerns, that this hearing is not an appeal or a rehearing. Accordingly, I have not permitted Mr. Foglia to introduce evidence acquired after the hearing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Foglia's first concern is with the Tribunal's observation that the refusal to transport Mr. Edwards was a result of certain events concerning Mr. Foglia's towing company. Mr. Foglia says that this is simply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Foglia's second concern involves a demonstration that took place in the presence of the Tribunal. Although the Tribunal noted that it "observed [Mr. Edwards] seating himself in a taxi", Mr. Foglia reasons from the result that it could not have placed itself in a position to adequately see what had been demonstrated. He says this included considerable force applied to the steering wheel by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Foglia takes exception to the Tribunal's observation that the witness, "Mr. Van Rassel said he and other drivers were worried that the airbag, stored in the steering column, might release as a result of the way in which Mr. Edwards pulls on the steering wheel ...". Mr. Foglia says that he, himself, said this. His point is that inasmuch as he is a "licensed mechanic, certified to do government vehicle inspections ... [with] [an] extensive mechanical background on all light and heavy duty commercial and private vehicles," the fact that </w:t>
      </w:r>
      <w:r>
        <w:rPr>
          <w:rFonts w:ascii="arial" w:eastAsia="arial" w:hAnsi="arial" w:cs="arial"/>
          <w:color w:val="000000"/>
          <w:sz w:val="20"/>
          <w:u w:val="single"/>
          <w:lang w:val="en-US" w:eastAsia="en-US" w:bidi="ar-SA"/>
        </w:rPr>
        <w:t>he</w:t>
      </w:r>
      <w:r>
        <w:rPr>
          <w:rFonts w:ascii="arial" w:eastAsia="arial" w:hAnsi="arial" w:cs="arial"/>
          <w:color w:val="000000"/>
          <w:sz w:val="20"/>
          <w:lang w:val="en-US" w:eastAsia="en-US" w:bidi="ar-SA"/>
        </w:rPr>
        <w:t xml:space="preserve"> said such a thing lends it the authority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the same reason, Mr. Foglia objects to the Tribunal's observation that "the Respondents called no expert evidence to support their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Foglia also objects to the Tribunal's observation that Mr. Edmison, a friend of Mr. Edwards, said that he has assisted Mr. Edwards many times over the years and has never had any concern about damage to his steering column or release of the airbag.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Foglia then suggests that "if the Tribunal member would have taken the time to research the airbag component damage possibility, she would have discovered ... information obtained from Transport Canada Road Safety Issues and Recalls." He then cites this source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Pushing or pulling on the steering wheel/column may cause the locking tab for the airbag contact ring in the steering wheel assembly to break without warning! This would cause the readiness indicator lamp ("SSR or Airbag") to illuminate and in such a case the airbag would not be available for deployment in a frontal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Other damage such as cracking the airbag sensor housing may also result which may allow water or moisture to enter the sensor area and cause a short-circuit and inadvertent deployment of the driver airbag and cause damage to the surrounding vehicle environment (windshield/instrument panel), and create expensive vehicle repair, including replacement of the airbag module(s) and the sensing and diagnostic module (SDM). In this case, unexpected deployment of the airbag could cause serious injury if the occupant is to close to the deploying airbag.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Foglia also claims that he contacted Mr. Edwards by telephone to see if some accommodation other than tugging on the steering wheel could be arranged, but that Mr. Edwards refused. He says this evidence was before the Tribunal, although the Tribunal did not allude to it in its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Tribunal observed that Mr. Foglia's concern was "speculation". As to this, Mr. Foglia submits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Society is becoming increasingly complex and increasingly dependant on the law. As a result, the public are learning that performing their routine duties can have a significant legal impact on both themselves and the organization in which they are involved. Hence, anyone functioning in a supervisory, administrative or operational capacity must have a basic knowledge of the law. This knowledge includes a general understanding of law as a whole, and a more specific knowledge of the legal areas that have a direct impact on them and their organization.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defined as a conduct falling below the standard established for the protection of others against unreasonable risk of harm (Restatement (Second) of Torts, Sec. 282).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pervades modem society, and its principles demand all of us to exercise caution in virtually every activity we undertake.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seeks to compensate victims for injuries and damages from accidents that result when these standards are not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Duty of Care: For the purpose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a duty of care is a finding that a legal relationship exists between two parties such that one party is obligated to exercise caution toward the other. The Courts have approached this issue by determining whether a particular person should have been "reasonably foreseeable" as someone to whom care is owed when carrying out an act. This has been dubbed the "neighbour principle" n accordance with the classical pronouncement by Lord Atkin in the famous case of "</w:t>
      </w:r>
      <w:r>
        <w:rPr>
          <w:rFonts w:ascii="arial" w:eastAsia="arial" w:hAnsi="arial" w:cs="arial"/>
          <w:i/>
          <w:color w:val="000000"/>
          <w:sz w:val="20"/>
          <w:lang w:val="en-US" w:eastAsia="en-US" w:bidi="ar-SA"/>
        </w:rPr>
        <w:t>Donahue v. Stevenson [1932] A.C. 562 at 580</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Standard of Care: Once it has been established that a duty of care is owed to a particular person, the precise level of care or standard of behaviour that is expected must next be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Clearly not all conduct attracts liability since virtually every act involves some kind of danger to someone. It is only that conduct which creates an unreasonable risk of harm which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seeks to prevent.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attempt to measure this standard by employing an objective criterion: comparing the conduct complained of to that expected of a "reasonable man (or person)" in the same circumstance.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omission to do something which a reasonable man, guided upon those considerations which ordinarily regulate the conduct of human affairs, would do, or doing something which a prudent and reasonable man would not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assessment of reasonableness involves a balancing of the magnitude of the risk posed by the activity complained of, the likelihood that an accident would happen and the seriousness of its consequences against the cost of measure that would be necessary to eliminate the risk and the value that society attaches to the activity generally. It should be noted that a particular person's conduct will be assessed as against the same class with the same knowledge or the same deficiencies.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Armed with the knowledge provided and experience in mechanical and medical procedures and with a layman's education in law, resulted in the Bona Fide decision of Champion Cabs to exclude Mr. Edwards from further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Case Manager had been able to read ALL the facts presented by Champion Cabs and if the Tribunal Member did not omit or render a decision based purely on sympathy, the outcome of the Tribunal's decision would surely have been in favour of Champion Cabs and not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Tribunal submits that the issues are as follows: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material is admissible when the Tribunal does not record the hearing and the petitioner challenges the Tribunal's decision on the ground that findings of material facts were made in disregard of the evidence?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standard of review respecting the grounds raised in the Petition, namely: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Tribunal err in its determination that Mr. Foglia and Champion Cabs had failed to establish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reasonable justification for not providing transportation services to Mr. Edwards?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affect a breach of natural justice by ordering Mr. Foglia and Champion Cabs to pay Mr. Edwards $2,500 for injury to dignity, feelings or self-respect when Mr. Edwards did not seek such an order, and as alleged by Mr. Foglia and Champion Cabs "the Tribunal Member's award was based on biased opinions and lack of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proceedings before the Tribunal were not recorded. Counsel for the Tribunal submit that where a decision is challenged on the grounds that a finding of material fact has been made without evidentiary support, the court may receive evidence by other means (see </w:t>
      </w:r>
      <w:r>
        <w:rPr>
          <w:rFonts w:ascii="arial" w:eastAsia="arial" w:hAnsi="arial" w:cs="arial"/>
          <w:b/>
          <w:i/>
          <w:color w:val="000000"/>
          <w:sz w:val="20"/>
          <w:lang w:val="en-US" w:eastAsia="en-US" w:bidi="ar-SA"/>
        </w:rPr>
        <w:t>Hibernia Management and Development Co. v. Fish, Food and Allied Workers Union</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[2002] N.J. No. 190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Garcia v. Canada (Attorney General)</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2001 FCA 200</w:t>
        </w:r>
      </w:hyperlink>
      <w:r>
        <w:rPr>
          <w:rFonts w:ascii="arial" w:eastAsia="arial" w:hAnsi="arial" w:cs="arial"/>
          <w:color w:val="000000"/>
          <w:sz w:val="20"/>
          <w:lang w:val="en-US" w:eastAsia="en-US" w:bidi="ar-SA"/>
        </w:rPr>
        <w:t xml:space="preserve">, 2001 F.C.J. No. 1001). On this basis, she submits that a brief comment and submission from Bernard Van Rassel, one of the witnesses at the hearing, may be considered. Otherwise, she submits that the rule is that judicial review must be conducted on the basis of the record of materials before the Tribunal at the time of the decision (see </w:t>
      </w:r>
      <w:r>
        <w:rPr>
          <w:rFonts w:ascii="arial" w:eastAsia="arial" w:hAnsi="arial" w:cs="arial"/>
          <w:b/>
          <w:i/>
          <w:color w:val="000000"/>
          <w:sz w:val="20"/>
          <w:lang w:val="en-US" w:eastAsia="en-US" w:bidi="ar-SA"/>
        </w:rPr>
        <w:t>Laprise v. British Columbia (Human Rights Commission)</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[1999] B.C.J. No. 1808</w:t>
        </w:r>
      </w:hyperlink>
      <w:r>
        <w:rPr>
          <w:rFonts w:ascii="arial" w:eastAsia="arial" w:hAnsi="arial" w:cs="arial"/>
          <w:color w:val="000000"/>
          <w:sz w:val="20"/>
          <w:lang w:val="en-US" w:eastAsia="en-US" w:bidi="ar-SA"/>
        </w:rPr>
        <w:t xml:space="preserve"> (S.C. at para. 7); </w:t>
      </w:r>
      <w:r>
        <w:rPr>
          <w:rFonts w:ascii="arial" w:eastAsia="arial" w:hAnsi="arial" w:cs="arial"/>
          <w:b/>
          <w:i/>
          <w:color w:val="000000"/>
          <w:sz w:val="20"/>
          <w:lang w:val="en-US" w:eastAsia="en-US" w:bidi="ar-SA"/>
        </w:rPr>
        <w:t>Re Keeprite Workers' Independent Union et al. and Keeprite Products Ltd.</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(1980), 29 O.R. (2d) 513</w:t>
        </w:r>
      </w:hyperlink>
      <w:r>
        <w:rPr>
          <w:rFonts w:ascii="arial" w:eastAsia="arial" w:hAnsi="arial" w:cs="arial"/>
          <w:color w:val="000000"/>
          <w:sz w:val="20"/>
          <w:lang w:val="en-US" w:eastAsia="en-US" w:bidi="ar-SA"/>
        </w:rPr>
        <w:t xml:space="preserve"> (C.A.) at p.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Having reviewed and summarized Mr. Foglia's submission, I do not think that his complaints are really about findings of fact for which there is a lack of evidentiary support as much as it is about the weight given to the evidence, and the test the Tribunal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must be guided in my review of the Tribunal's decision by s. 59 of the </w:t>
      </w:r>
      <w:r>
        <w:rPr>
          <w:rFonts w:ascii="arial" w:eastAsia="arial" w:hAnsi="arial" w:cs="arial"/>
          <w:b/>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59(1) In a judicial review proceeding, the standard of review to be applied to a decision of the tribunal is correctness for all questions except those respecting the exercise of discretion, findings of fact and the application of the common law rules of natural justice and procedural fairness.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 court must not set aside a finding of fact by the tribunal unless there is no evidence to support it or if, in light of all the evidence, the finding is otherwise unreasonable.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 court must not set aside a discretionary decision of the tribunal unless it is patently unreasonable.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For the purposes of subsection (3), a discretionary decision is patently unreasonable if the discretion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arbitrarily or in bad faith,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for an improper purpose,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based entirely or predominantly on irrelevant factors,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take statutory requirements into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Questions about the application of common law rules of natural justice and procedural fairness must be decided having regard to whether, in all of the circumstances, the tribunal acted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standard is </w:t>
      </w:r>
      <w:r>
        <w:rPr>
          <w:rFonts w:ascii="arial" w:eastAsia="arial" w:hAnsi="arial" w:cs="arial"/>
          <w:color w:val="000000"/>
          <w:sz w:val="20"/>
          <w:u w:val="single"/>
          <w:lang w:val="en-US" w:eastAsia="en-US" w:bidi="ar-SA"/>
        </w:rPr>
        <w:t>unreasonableness</w:t>
      </w:r>
      <w:r>
        <w:rPr>
          <w:rFonts w:ascii="arial" w:eastAsia="arial" w:hAnsi="arial" w:cs="arial"/>
          <w:color w:val="000000"/>
          <w:sz w:val="20"/>
          <w:lang w:val="en-US" w:eastAsia="en-US" w:bidi="ar-SA"/>
        </w:rPr>
        <w:t xml:space="preserve"> with respect to findings of fact, and </w:t>
      </w:r>
      <w:r>
        <w:rPr>
          <w:rFonts w:ascii="arial" w:eastAsia="arial" w:hAnsi="arial" w:cs="arial"/>
          <w:color w:val="000000"/>
          <w:sz w:val="20"/>
          <w:u w:val="single"/>
          <w:lang w:val="en-US" w:eastAsia="en-US" w:bidi="ar-SA"/>
        </w:rPr>
        <w:t>correctness</w:t>
      </w:r>
      <w:r>
        <w:rPr>
          <w:rFonts w:ascii="arial" w:eastAsia="arial" w:hAnsi="arial" w:cs="arial"/>
          <w:color w:val="000000"/>
          <w:sz w:val="20"/>
          <w:lang w:val="en-US" w:eastAsia="en-US" w:bidi="ar-SA"/>
        </w:rPr>
        <w:t xml:space="preserve"> respecting the application of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provision of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the Tribunal applied was s. 8(1):</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must not, without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reasonable justification,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deny to a person ... any accommodation, service or facility customarily available to the public,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discriminate against a person ... regarding any accommodation, service or facility customarily available to the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 physical ... disability ... of that person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Tribunal characterized the issues in the following manner:</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Has Mr. Edwards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with respect to the respondents' treatment of him in refusing transport?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respondents establish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reasonable justification for their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do not think there is any debate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has been made out on the facts. The hearing turned on whether Mr. Foglia was justified in refusing to transport Mr. Edwards on the basis of his safety and damage concerns over Mr. Edwards' use of the steering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Of Mr. Foglia's several concerns, his objection concerning the characterization of a towing incident as having something to do with the genesis of the complaint does not lead anywhere. Even if he is correct, it was a prefatory remark, immaterial to the decision. It could have had no significant bearing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Foglia's concern about the demonstration is, as I have indicated, that the Tribunal must not have properly observed Mr. Edwards' use of the steering wheel in coming to its conclusion. This merges with his concerns that the Tribunal did not, in his view, appear to appreciate that </w:t>
      </w:r>
      <w:r>
        <w:rPr>
          <w:rFonts w:ascii="arial" w:eastAsia="arial" w:hAnsi="arial" w:cs="arial"/>
          <w:color w:val="000000"/>
          <w:sz w:val="20"/>
          <w:u w:val="single"/>
          <w:lang w:val="en-US" w:eastAsia="en-US" w:bidi="ar-SA"/>
        </w:rPr>
        <w:t>he</w:t>
      </w:r>
      <w:r>
        <w:rPr>
          <w:rFonts w:ascii="arial" w:eastAsia="arial" w:hAnsi="arial" w:cs="arial"/>
          <w:color w:val="000000"/>
          <w:sz w:val="20"/>
          <w:lang w:val="en-US" w:eastAsia="en-US" w:bidi="ar-SA"/>
        </w:rPr>
        <w:t xml:space="preserve"> is an expert. His submission, although he did not put it in quite these terms, is that it was unreasonable for the Tribunal to suggest that he had tendered no expert evidence when he had testified, and then in preferring the evidence of a "lay" witness, Mr. Edmison, over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this regard, Mr. Foglia makes an error about the term "expert" that is not surprising, given that he represented himself and apparently did his own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 expert in his context means an objective, independent, trained person who could assist the Tribunal in drawing the correct inferences in the circumstances. No evidence of that kind was proffered. Mr. Foglia, as a party, could not offer expert evidence in his own cause. He did not, in any event, offer useful evidence on the subject of when, and under what circumstances, the consequences of pulling sideways on the steering wheel could be as he feared. The Tribunal was left with his apprehension that something that had not happened might happen, and evidence that the action said to create that peril had never caused any problem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do not say that the view taken of the evidence by the Tribunal was the only one possible, but it was certainly within the range of views that could have been taken, and was therefore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Last among Mr. Foglia's submissions is that the Tribunal should have done its own research on the subject. This simply misunderstands the role of a Tribunal which is to consider the case on the evidence before it, not to investigate and draw inferences on the basis of material that neither party could test or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assessing whether Mr. Foglia had established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reasonable justification for refusing to transport Mr. Edwards, the Tribunal applied the test set out in </w:t>
      </w:r>
      <w:r>
        <w:rPr>
          <w:rFonts w:ascii="arial" w:eastAsia="arial" w:hAnsi="arial" w:cs="arial"/>
          <w:b/>
          <w:i/>
          <w:color w:val="000000"/>
          <w:sz w:val="20"/>
          <w:lang w:val="en-US" w:eastAsia="en-US" w:bidi="ar-SA"/>
        </w:rPr>
        <w:t>British Columbia (Superintendent of Motor Vehicles) v. British Columbia (Council of Human Rights)</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[1999] 3 S.C.R. 868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Grismer</w:t>
      </w:r>
      <w:r>
        <w:rPr>
          <w:rFonts w:ascii="arial" w:eastAsia="arial" w:hAnsi="arial" w:cs="arial"/>
          <w:color w:val="000000"/>
          <w:sz w:val="20"/>
          <w:lang w:val="en-US" w:eastAsia="en-US" w:bidi="ar-SA"/>
        </w:rPr>
        <w:t>"). The Tribunal reasoned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 In this case application of the </w:t>
      </w:r>
      <w:r>
        <w:rPr>
          <w:rFonts w:ascii="arial" w:eastAsia="arial" w:hAnsi="arial" w:cs="arial"/>
          <w:i/>
          <w:color w:val="000000"/>
          <w:sz w:val="20"/>
          <w:lang w:val="en-US" w:eastAsia="en-US" w:bidi="ar-SA"/>
        </w:rPr>
        <w:t>Grismer</w:t>
      </w:r>
      <w:r>
        <w:rPr>
          <w:rFonts w:ascii="arial" w:eastAsia="arial" w:hAnsi="arial" w:cs="arial"/>
          <w:color w:val="000000"/>
          <w:sz w:val="20"/>
          <w:lang w:val="en-US" w:eastAsia="en-US" w:bidi="ar-SA"/>
        </w:rPr>
        <w:t xml:space="preserve"> test requires Champion to show that it: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adopted the standard for a purpose or goal that is rationally connected to the function being performed;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adopted the standard in good faith, in the belief that it is necessary for the fulfilment of the purpose or goal;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is reasonably necessary to accomplish its purpose or goal, in the sense that the defendant cannot accommodate persons with the characteristics of the claimant without incurring undue hardship.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Champion admitted that it presently has one taxi cab that did not have an airbag in the steering wheel. However, it also said that it was replacing the vehicle for a newer one that would have an airbag. As a result, it said it had no taxi cabs that could accommodate Mr. Edwards.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Champion gave as its reasons for refusing service, the liability issues, the air-bag release, as well as the steering wheel column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respondents did not provide any evidence that their concerns about the air-bag release and steering column were legitimate. I find that the concerns are clearly impressionistic. Furthermore, Mr. Van Rassel's testimony about potential liability if the drivers or Mr. Edwards were hurt, was also speculative.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Other than the evidence about the potential problems that Champion said were created by transporting Mr. Edwards, the respondents did not provide any evidence that they had considered an accommodation or even had discussions with Mr. Edwards. The respondents provided no evidence that they had considered other ways of accommodating Mr. Edwards. Further, there was no evidence that they discussed with Mr. Edwards, or explored other means he might use to seat himself in the taxi cabs.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As a result, I had not evidence on which to find that the respondents had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reasonable justification for not providing transportation services to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Foglia says he contacted Mr. Edwards to see if another method of getting into the taxi could be devised, but that Mr. Edwards refused to discuss it. This cannot be reconciled without a record. It would only be truly material if there was an established basis for the concern about the steering wheel in the first place. Inasmuch as this was not made out to the Tribunal's satisfaction, and inasmuch as that finding was not unreasonable, its finding that Mr. Foglia had discriminated against Mr. Edwards in contravention of s. 8(1)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was supportable, and could not be said to be wrong within the test I must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awarding damages, the Tribunal went further than Mr. Edwards himself, who sought no monetary damages. The Tribunal applied s. 37(2) as follows: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member or panel determines that the complaint is justified, the member or panel</w:t>
      </w:r>
    </w:p>
    <w:p>
      <w:pPr>
        <w:numPr>
          <w:numId w:val="1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order the person that contravened this Code to cease the contravention and to refrain from committing the same or a similar contravention,</w:t>
      </w:r>
    </w:p>
    <w:p>
      <w:pPr>
        <w:numPr>
          <w:numId w:val="1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 declaratory order that the conduct complained of, or similar conduct, is discrimination contrary to this Code, the standard is reasonably necessary to accomplish its purpose or goal, in the sense that the defendant cannot accommodate persons with the characteristics of the claimant without incurring undue hardship.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discriminated against is a party to the complaint, or is an identifiable member of a group or class on behalf of which a complaint is filed, may order the person that contravened this Code to do one or more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the person discriminated against an amount that the member or panel considers appropriate to compensate that person for injury to dignity, feelings and self respect or to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It relied on </w:t>
      </w:r>
      <w:r>
        <w:rPr>
          <w:rFonts w:ascii="arial" w:eastAsia="arial" w:hAnsi="arial" w:cs="arial"/>
          <w:b/>
          <w:i/>
          <w:color w:val="000000"/>
          <w:sz w:val="20"/>
          <w:lang w:val="en-US" w:eastAsia="en-US" w:bidi="ar-SA"/>
        </w:rPr>
        <w:t>Howard v. University of British Columbia (No. 2)</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[1993] B.C.C.H.R.D. No. 34</w:t>
        </w:r>
      </w:hyperlink>
      <w:r>
        <w:rPr>
          <w:rFonts w:ascii="arial" w:eastAsia="arial" w:hAnsi="arial" w:cs="arial"/>
          <w:color w:val="000000"/>
          <w:sz w:val="20"/>
          <w:lang w:val="en-US" w:eastAsia="en-US" w:bidi="ar-SA"/>
        </w:rPr>
        <w:t xml:space="preserve">, (1993), 21 C.H.R.R. D/142 (B.C.C.H.R.) at D/145, and </w:t>
      </w:r>
      <w:r>
        <w:rPr>
          <w:rFonts w:ascii="arial" w:eastAsia="arial" w:hAnsi="arial" w:cs="arial"/>
          <w:b/>
          <w:i/>
          <w:color w:val="000000"/>
          <w:sz w:val="20"/>
          <w:lang w:val="en-US" w:eastAsia="en-US" w:bidi="ar-SA"/>
        </w:rPr>
        <w:t>Hussey v. British Columbia (Ministry of Public Safety and Solicitor General)</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[2003] B.C.H.R.T.D. No. 73</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2003 BCHRT 76</w:t>
        </w:r>
      </w:hyperlink>
      <w:r>
        <w:rPr>
          <w:rFonts w:ascii="arial" w:eastAsia="arial" w:hAnsi="arial" w:cs="arial"/>
          <w:color w:val="000000"/>
          <w:sz w:val="20"/>
          <w:lang w:val="en-US" w:eastAsia="en-US" w:bidi="ar-SA"/>
        </w:rPr>
        <w:t xml:space="preserve"> for the proposition that there is an inherent injury to dignity whenever a human right has been violated. While this may be so, it is not at all clear that Mr. Foglia had adequate notice of his jeopardy or was given any opportunity to address damages. There is no representation of his views in the judgment. The only comment is Mr. Edwards' suggestion that he has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been seeking a monetary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of the view that Mr. Foglia was entitled to rely on what Mr. Edwards represented in the circumstances, and that the rule of natural justice that Mr. Foglia had a right to be heard on the subject of remedy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while I will not disturb the order under s. 37(2)(a) to cease and refrain, I set aside the order under s. 37(2)(d)(iii), there will be no monetary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intervention of counsel for the B.C. Human Rights Tribunal was helpful and within the appropriate limits. Costs will not be awarded against it in the circumstances (see </w:t>
      </w:r>
      <w:r>
        <w:rPr>
          <w:rFonts w:ascii="arial" w:eastAsia="arial" w:hAnsi="arial" w:cs="arial"/>
          <w:b/>
          <w:i/>
          <w:color w:val="000000"/>
          <w:sz w:val="20"/>
          <w:lang w:val="en-US" w:eastAsia="en-US" w:bidi="ar-SA"/>
        </w:rPr>
        <w:t>Lang v. British Columbia (Superintendent of Motor Vehicles)</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BCCA 244</w:t>
        </w:r>
      </w:hyperlink>
      <w:r>
        <w:rPr>
          <w:rFonts w:ascii="arial" w:eastAsia="arial" w:hAnsi="arial" w:cs="arial"/>
          <w:color w:val="000000"/>
          <w:sz w:val="20"/>
          <w:lang w:val="en-US" w:eastAsia="en-US" w:bidi="ar-SA"/>
        </w:rPr>
        <w:t xml:space="preserve"> at paras. 47-54).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shall be no other order for costs in between the parties in view of the divided success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0" w:history="1">
        <w:r>
          <w:rPr>
            <w:rFonts w:ascii="arial" w:eastAsia="arial" w:hAnsi="arial" w:cs="arial"/>
            <w:b/>
            <w:bCs/>
            <w:i/>
            <w:color w:val="0077CC"/>
            <w:kern w:val="32"/>
            <w:sz w:val="28"/>
            <w:szCs w:val="32"/>
            <w:u w:val="single"/>
            <w:shd w:val="clear" w:color="auto" w:fill="FFFFFF"/>
            <w:lang w:val="en-US" w:eastAsia="en-US" w:bidi="ar-SA"/>
          </w:rPr>
          <w:t>Furlan v. Shell Oil Co., [2002] B.C.J. No. 2549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Brenner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C967239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2549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B.C.L.R. (4th) 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 C.P.C. (5th) 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874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Jean-Michel Furlan, Donald Atkinson, Russell D. Reid, Mark Zwanski, Grev Grey and Kirsten Williams, plaintiffs, and Shell Oil Company, E.I. Du Pont De Nemours and Company, and Hoechst Celanese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0" w:name="Keywords_7"/>
      <w:bookmarkEnd w:id="50"/>
      <w:r>
        <w:rPr>
          <w:rFonts w:ascii="arial" w:eastAsia="arial" w:hAnsi="arial" w:cs="arial"/>
          <w:b/>
          <w:color w:val="000000"/>
          <w:sz w:val="20"/>
          <w:lang w:val="en-US" w:eastAsia="en-US" w:bidi="ar-SA"/>
        </w:rPr>
        <w:t>Practice — Persons who can sue and be sued — Individuals and corporations, status or standing — Class actions, certification, considerations — Settlements — By one of multiple defendants, effect of — By plaintiff and defendant, effect on third party claims — Discovery — When available.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1" w:name="Case Summary_6"/>
            <w:bookmarkEnd w:id="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Furlan and the other plaintiffs for approval of a settlement agreement between them and the defendant DuPont. The plaintiffs also sought to certify a settlement class to implement the settlement. They further requested a bar order. It was to bar claims for contribution, indemnity or other claims over against DuPont. DuPont supported this application. It also sought to strike out the third party notices against it issued by the non-settling defendants Shell Oil and Hoechst Celanese. This class proceeding was an action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polybutylene plumbing and heating systems installed in properties in British Columbia, Ontario and Quebec. The defendants were the suppliers of raw material used in the manufacture of these systems. The pipes and fittings used in the systems developed leaks. Litigation was pursued in the three provinces. This settlement was approved in Ontario. Celanese opposed the settlement. The proposed bar order did not restrict the plaintiffs' claims against Shell and Celanese. It converted the joint and several claims of the plaintiffs to several claims. This eliminated the basis for any contribution and indemnity claims among the defendants. The bar order did not apply to persons who opted out of the class proceeding. The order provided that the non-settling defendants would not be entitled to discovery without further court order. Shell and Celanese claimed that the caselaw entitled them to full discovery rights without the need to return to court.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2" w:name="Holdings of Court_3"/>
            <w:bookmarkEnd w:id="5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certified as a class proceeding for settlement purposes. Settlement was in the parties' interests. It eliminated concerns about the manageability of the ongoing proceedings. It also provided a measure of certainty and early recovery not available in the litigation context. The settlement was approved. It was fair and reasonable. The non-settling defendants did not have standing to make submissions about the reasonableness of a settlement to which they were not parties. The bar order was granted. Shell and Celanese were not entitled to full rights of discovery against DuPont. The order did not preclude Shell and Celanese from obtaining further discovery from DuPont. They would be able to obtain the necessary evidence for their case. The order ensured that this long running litigation did not proceed until a case management judge was satisfied that it was necessary.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3" w:name="Counsel_7"/>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Poyner and K. Baxter, for the plaintiffs. E. Myers and S. Nossal, for Shell Oil Company. W. Branch and D. Lebans, for E.I. Du Pont De Nemours and Company. D. Mullan, for Hoechst Celanese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4" w:name="Judgment_7"/>
      <w:bookmarkEnd w:id="54"/>
      <w:r>
        <w:pict>
          <v:line id="_x0000_s1066" style="position:absolute;z-index:2517688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5" w:name="BRENNER C.J.S.C."/>
            <w:bookmarkEnd w:id="55"/>
            <w:r>
              <w:rPr>
                <w:rFonts w:ascii="arial" w:eastAsia="arial" w:hAnsi="arial" w:cs="arial"/>
                <w:b/>
                <w:color w:val="000000"/>
                <w:sz w:val="30"/>
                <w:lang w:val="en-US" w:eastAsia="en-US" w:bidi="ar-SA"/>
              </w:rPr>
              <w:t>BRENNER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plaintiffs for an order:</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approving a proposed settlement agreement between the plaintiffs and the defendant E.I. Du Pont USA De Nemours and Company ("DuPont");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certifying a settlement class in order to implement the settlement;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granting a bar order barring claims for contribution, indemnity or other claims over against DuPont.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DuPont supports the plaintiffs' application and also seeks to strike out third party notices against it issued by the non-settling defendants Shell Oil Company ("Shell") and Hoechst Celanese Corporation ("Celanese").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class proceeding is an action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polybutylene ("PB") plumbing and heating systems installed in properties in British Columbia. Parallel actions have been filed and pursued in Ontario and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were the suppliers of raw material used in the manufacture of these systems. In 1977 Shell began selling PB resin to manufacturers to be used for making pipe. That year Celanese began selling an acetal plastic "Celcon" to manufacturers who moulded it into plumbing fittings and sold them for the purpose of joining PB pipes. The pipe and fittings were assembled and used together to transfer water within homes to each plumbing fixture or were used to circulate heated water to warm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1983, DuPont entered the fittings market. It began supplying an acetal plastic "Delrin" to some fittings manufacturers for use as an alternative to Celcon.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three defendants manufactured neither the PB pipe (in Shell's case) nor the fittings (in the case of DuPont and Celanese): they only supplied the raw material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Sadly, the PB pipe and fittings developed leaks. Class action litigation ensued in the United States and subsequently, as outlined above, in Canada. In 1995 DuPont settled a U.S. nationwide class action: Spencer v. Shell Oil Company et al (17 November 1995), Civil Action No. CV-94-074 (Greene Co. Cir. Ct, Alabama).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ONTARIO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settlement between DuPont and the Canadian class action plaintiffs was brought before Mr. Justice Nordheimer of the Ontario Superior Court of Justice in the Ontario proceeding on October 11, 2002. On October 22, Nordheimer J. released his reasons granting the certification for the purpose of the settlement with DuPont and conditionally approving the settlement, </w:t>
      </w:r>
      <w:hyperlink r:id="rId121" w:history="1">
        <w:r>
          <w:rPr>
            <w:rFonts w:ascii="arial" w:eastAsia="arial" w:hAnsi="arial" w:cs="arial"/>
            <w:i/>
            <w:color w:val="0077CC"/>
            <w:sz w:val="20"/>
            <w:u w:val="single"/>
            <w:shd w:val="clear" w:color="auto" w:fill="FFFFFF"/>
            <w:lang w:val="en-US" w:eastAsia="en-US" w:bidi="ar-SA"/>
          </w:rPr>
          <w:t>[2002] O.J. No. 4022</w:t>
        </w:r>
      </w:hyperlink>
      <w:r>
        <w:rPr>
          <w:rFonts w:ascii="arial" w:eastAsia="arial" w:hAnsi="arial" w:cs="arial"/>
          <w:color w:val="000000"/>
          <w:sz w:val="20"/>
          <w:lang w:val="en-US" w:eastAsia="en-US" w:bidi="ar-SA"/>
        </w:rPr>
        <w:t>. After the settlement agreement was amended to meet those conditions, Nordheimer J. approved the settlement on November 4, 2002. The parties now seek approval of that modified settlement agreement in the British Columbia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settlement of a class proceeding must be approved by the court to be binding. In determining whether to approve a settlement the court will consider whether the settlement is fair, reasonable and in the best interests of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paragraphs 1 to 26 of his reasons of October 22, 2002 Mr. Justice Nordheimer reviews the background of this case and the terms of the settlement. Despite wide-spread advertising, no potential plaintiffs have filed objections to this settlement in either the Ontario or B.C.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reviewed Nordheimer J.'s analysis in paragraph 27 to 35 of his reasons. I agree with his view that while the legislated requirements for certification in a settlement context are the same as they are in a litigation context, those requirements can be relaxed somewhat in a settlement context. Settlement does remove the underlying concerns over the manageability of the ongoing proceedings. It also provides a measure of certainty and early recovery not available in the litigation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satisfied that the action should be certified as a class proceeding for the purposes of the settlement between the plaintiffs and DuPont.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certification does not include the plaintiffs' claims against the non-settling defendants. As in Ontario it will remain open to Shell and Celanese to continue to oppose certification of the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SETTLEMENT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supported by DuPont, apply for settlement approval. Shell takes no position with respect to the merits of the settlement agreement or its fairness to the settlement class. Celanese opposes the settlement on the basis that the settlement class is not receiving enough under the settlement and that there will be insufficient take-up by settlement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Nordheimer J. dealt with this argument at paragraphs 37-41 of his reasons. Simply put he concluded that non-settling defendants have no standing to make submissions regarding the reasonableness of a settlement to which they are not parties. I agree with his conclusion that while Celanese (and Shell) have a clear interest in the terms of the bar order, they have no standing to object to the generosity or likely take-up rate of a settlement to which they are not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also concur with his conclusion that the settlement meets the test set out by Sharpe J. (as he then was) in Dabbs v. Sun Life Assurance Co. of Canada, </w:t>
      </w:r>
      <w:hyperlink r:id="rId122" w:history="1">
        <w:r>
          <w:rPr>
            <w:rFonts w:ascii="arial" w:eastAsia="arial" w:hAnsi="arial" w:cs="arial"/>
            <w:i/>
            <w:color w:val="0077CC"/>
            <w:sz w:val="20"/>
            <w:u w:val="single"/>
            <w:shd w:val="clear" w:color="auto" w:fill="FFFFFF"/>
            <w:lang w:val="en-US" w:eastAsia="en-US" w:bidi="ar-SA"/>
          </w:rPr>
          <w:t>[1998] O.J. No. 1598</w:t>
        </w:r>
      </w:hyperlink>
      <w:r>
        <w:rPr>
          <w:rFonts w:ascii="arial" w:eastAsia="arial" w:hAnsi="arial" w:cs="arial"/>
          <w:color w:val="000000"/>
          <w:sz w:val="20"/>
          <w:lang w:val="en-US" w:eastAsia="en-US" w:bidi="ar-SA"/>
        </w:rPr>
        <w:t xml:space="preserve">. That test was approved by this court in Haney Iron Works Ltd. v. Manufacturers Life Insurance Co. </w:t>
      </w:r>
      <w:hyperlink r:id="rId123" w:history="1">
        <w:r>
          <w:rPr>
            <w:rFonts w:ascii="arial" w:eastAsia="arial" w:hAnsi="arial" w:cs="arial"/>
            <w:i/>
            <w:color w:val="0077CC"/>
            <w:sz w:val="20"/>
            <w:u w:val="single"/>
            <w:shd w:val="clear" w:color="auto" w:fill="FFFFFF"/>
            <w:lang w:val="en-US" w:eastAsia="en-US" w:bidi="ar-SA"/>
          </w:rPr>
          <w:t>(1998), 169 D.L.R. (4th) 565</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conclude that the proposed settlement is fair and reasonable and ought to be approved subject to the proposed bar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DuPont seeks a bar order to limit its exposure to cross-claims and further proceedings by the non-settling defendants. The proposed form of bar order (and as approved by Nordheimer J.) neither restricts the plaintiffs' assertions of liability against Shell and Celanese nor limits their defences. It converts the joint and several claims of the plaintiffs to several claims. This eliminates the basis for any contribution and indemnity claims among the defendants. The bar order is limited to claims that were or could have been brought in the class proceeding and it does not apply to persons who opt out of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Shell and Celanese concede a bar order is appropriate. However they say that their liability to the settlement class should be capped. They also say that under their third party notices they should continue to have discovery as of right against the settling defendant under the rule in British Columbia Ferry Corp. v. T&amp;N plc </w:t>
      </w:r>
      <w:hyperlink r:id="rId18"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(C.A.)[BC Ferry].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NON-SETTLING DEFENDANTS' EXPOSURE 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non-settling defendants say that any recovery by a settlement class member ought to be reduced to a maximum of 75% of what that class member would otherwise recover against them. As stated at paragraph 53 by Nordheimer J., the non-settling defendants want the court to rule that, regardless of whether any given settlement class member takes advantage of the settlement, they will be deemed to have received the benefit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share the dim view taken by Nordheimer J. of the fairness of this proposition as set out in paragraph 54 of his reasons. In particular I agree that because the ultimate liability in any particular case might be solely that of one of the non-settling defendants and because that plaintiff will not have received any benefit from the settlement agreement, there is no reason why the non-settling defendant(s) should be able to take the advantage of the settlement. In my view those who exercise their right not to come to the settlement table should not be entitled to the gratuitous benefits of the likely settlement compromises made by those who do. I decline to cap the non-settling defendants' exposure to the settlement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DISCOVERY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bar order proposed by DuPont (and approved by Nordheimer J.) provides that the non-settling defendants will not be entitled to discovery without further court order. Shell and Celanese say that under the rule in BC Ferry they are entitled to retain full discovery rights under their third party notices and should not be required to return to the court for discovery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BC Ferry the plaintiffs sued a number of asbestos manufacturers who in turn third partied various installers of the asbestos. The plaintiffs then agreed with the installers not to seek recovery from the manufacturers of any portion of the damages which a court might ultimately attribute to the fault of third parties such as the installers. The manufacturers sought contribution and indemnity from the third parties including damages for the cost of defending the plaintiffs' claim as well as a declaration as to the degree of fault, if any, attributable to the third parties. The third parties successfully moved at the trial level for a dismissal of all of the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of Appeal upheld the dismissal of the contribution and indemnity claims since the agreement between the plaintiffs and the third parties saved the defendant manufacturers "harmless from any damages caused or contributed to by the fault of the concurrent tortfeasor" thus eliminating any "basis upon which the right to contribution or indemnity ... could be exercised." The dismissal of the defence costs claim was also upheld on the basis that there was no duty of care between the parties that could ground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the claim for declaratory relief was allowed. The Court of Appeal held that declaratory relief was not restricted to those cases where a lis exists between parties. It held that there is a broad discretion to grant declaratory relief unfettered by any such limitation. In BC Ferry the court concluded that the defendant manufacturers would be prejudiced in establishing the fault of the third parties and in thereby defending themselves, if they did not have full procedural rights against those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pp 129-130 Wood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in my view, be manifestly wrong if a private accord between plaintiff and third party could work to deprive a defendant of the ability to establish an element of proof essential to a just resolution of the action on which all parties had joined issue. But that is precisely what will occur here if the defendants are denied the declaratory relief they seek ... In those circumstances, I am of the view that the third party claims for declaratory relief should be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third party claim for declaratory relief was allowed in BC Ferry because without it, the non-settling defendants would have been prejudiced. In Wood J.A.'s words they would have been deprived of "the ability to establish an element of proof essential to a just resolution of the action on which all parties had joined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Wood J.A. was also alive to the potential for "settlement chill" if settling parties were exposed to continuing litigation expenses. However he concluded that the control and allocation of such costs was a matter best left to pre-trial management and costs orders. In his words at paragraph 32: "If any solution to such problems can be found, it must be in a vigorous but fair exercise of the pre-trial management function, and by a wise exercise of the discretion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Shell and Celanese say that under the rule in BC Ferry they are entitled to maintain full rights of discovery against DuPont. They say DuPont can apply to the court for relief if it considers that discovery too onerous.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DuPont argues that the proposed bar order respects the rule in BC Ferry. It points out that the Court of Appeal recognized that such declaratory relief should be granted only "rarely" and "with great care and caution". It says that in the case at bar, the proposed bar order does not create a "manifest wrong" that would require the court to exercise its discretion to grant additional discovery rights beyond those already provided for in the bar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view BC Ferry stands for the proposition that a non-settling defendant's discovery rights cannot be foreclosed by a settlement agreement to which it is not a party. A non-settling party retains the right to minimize its liability by trying to establish through appropriate pre-trial discovery that fault rests with a settling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in BC Ferry the trial judge had struck the third party notices thereby depriving the non-settling manufacturers of their discovery rights. In the case at bar, the third party notices would be replaced by the bar order which as drafted specifically recognizes the rights of the non-settling defendants to discovery against DuPont "as deemed appropriate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recognizing those discovery rights, the bar order, in my view, is consistent with the rule in BC Ferry. It is also consistent with the view of Wood J.A. that an appropriate balancing of the interest of a non-settling defendant in discovery and a settling defendant in litigation finality is one that can be solved, if at all, by "a vigorous but fair exercise of the pre-trial management function" and "a wise exercise of the discretion as to costs". In my view the bar order recognizes the right of Shell and Celanese to discovery yet also allows a case management judge to exercise precisely the type of control contemplated by Wood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deciding which of the parties should bear the onus of returning to the court for an order either allowing or limiting discovery, it is also appropriate to consider the litigation history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Litigation in respect of the matters that are at issue in this case has been ongoing since the 1980's. In the United States that litigation has involved individual, multi-plaintiff and class action litigation. Over the course of that litigation representatives of DuPont have been deposed. DuPont has already produced over two million documents to Shell and Celanese. If the bar order is not granted DuPont could be served with a document demand that would require it to deliver a list containing many of the two million documents earlier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proposed bar order does not preclude Shell and Celanese from obtaining further discovery from DuPont. Rather it requires them to apply to the case-management judge for any additional oral or documentary discovery that might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the bar order will not deprive them of the ability to establish proof "essential to a just resolution of the action". What it will do is ensure that additional discovery in this long running litigation does not proceed until a case-management judge is satisfied that it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I will approve the bar order in the terms proposed by DuPont. The non-settling defendants will be at liberty to apply to the case management judge for discovery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final matter is whether the plaintiffs ought to be required to amend their pleadings to expressly waive their claims against the non-settling defendants. This was the procedure recommended in BC Ferry so that the trial judge would be clearly aware as to the limits of the plaintiffs' claim for damages. In my view these orders accomplish that and hence I do not believe such an amendment to be necessary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have applied to amend their statement of claim to add Mosquito Creek Housing Co-Operative and Patrick Harrison as additional representative plaintiffs. That application is unopposed and will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claims of the plaintiffs against DuPont are certified and the settlement agreement is approved. The bar order is approved and the third party notices filed by Shell and Celanese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BRENNER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Gallagher v. Olsson, [2001] B.C.J. No. 1340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5 - 7,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20, 2001.</w:t>
      </w:r>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Registry No. 01821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1340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589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106 A.C.W.S. (3d) 250</w:t>
      </w:r>
    </w:p>
    <w:p>
      <w:pPr>
        <w:spacing w:before="120" w:line="260" w:lineRule="atLeast"/>
        <w:rPr>
          <w:lang w:val="en-US" w:eastAsia="en-US" w:bidi="ar-SA"/>
        </w:rPr>
      </w:pPr>
      <w:r>
        <w:rPr>
          <w:rFonts w:ascii="arial" w:eastAsia="arial" w:hAnsi="arial" w:cs="arial"/>
          <w:color w:val="000000"/>
          <w:sz w:val="20"/>
          <w:lang w:val="en-US" w:eastAsia="en-US" w:bidi="ar-SA"/>
        </w:rPr>
        <w:t>Between David Nelson Gallagher, plaintiff, and Mary Olsson, Susan Pedersen, Curtis Bespoyasny and Evelyn Bespoyasny,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8" style="position:absolute;z-index:2516674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6" w:name="Keywords_8"/>
      <w:bookmarkEnd w:id="5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Independent causes.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7" w:name="Case Summary_7"/>
            <w:bookmarkEnd w:id="5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Gallagher for damages for personal injuries. Gallagher was involved in a motor vehicle collision in January 1997. Following the accident, he missed five months of work and experienced headaches, a temporomandibular joint injury and pain in his neck and shoulder. Within six months, he had almost fully recovered from the injuries other than the headaches and the joint injury. Gallagher went through a rigorous course of physiotherapy and returned to work in June 1997. He sustained a lower back injury in a work-related accident in October 1997. He suffered another work-related injury in November 1998. Olsson admitted liability for the motor vehicle accident. Gallagher sought non-pecuniary damages, damages for past income loss, past and future loss of earning capacity, the cost of future dental treatments and special damages. </w:t>
            </w:r>
            <w:r>
              <w:rPr>
                <w:lang w:val="en-US" w:eastAsia="en-US" w:bidi="ar-SA"/>
              </w:rPr>
              <w:cr/>
            </w:r>
          </w:p>
          <w:p>
            <w:pPr>
              <w:spacing w:before="120" w:line="260" w:lineRule="atLeast"/>
              <w:ind w:left="240"/>
              <w:jc w:val="both"/>
              <w:rPr>
                <w:lang w:val="en-US" w:eastAsia="en-US" w:bidi="ar-SA"/>
              </w:rPr>
            </w:pPr>
            <w:bookmarkStart w:id="58" w:name="Holdings of Court_4"/>
            <w:bookmarkEnd w:id="58"/>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Gallagher's evidence was not credible and did not have the necessary reliability to overcome the objective evidence disclosed by his treatment and subsequent return to work. Therefore, there was no evidentiary basis to conclude that any injury sustained by Gallagher in the motor vehicle accident was symptomatic after June 1997 other than the joint problem and some minor discomfort associated with his back and shoulder. Gallagher had therefore failed to meet the onus of establishing that his claim was linked causally to the motor vehicle accident. Gallagher's claim for past and future loss of earning capacity was therefore dismissed as not being attributable to the motor vehicle accident. Gallagher's non-pecuniary damages were fixed at $13,000. He was entitled to damages for wage loss and the costs of the treatment for the joint problem. </w:t>
            </w:r>
            <w:r>
              <w:rPr>
                <w:lang w:val="en-US" w:eastAsia="en-US" w:bidi="ar-SA"/>
              </w:rPr>
              <w:cr/>
            </w:r>
          </w:p>
          <w:p>
            <w:pPr>
              <w:rPr>
                <w:lang w:val="en-US" w:eastAsia="en-US" w:bidi="ar-SA"/>
              </w:rPr>
            </w:pPr>
          </w:p>
        </w:tc>
      </w:tr>
    </w:tbl>
    <w:p>
      <w:pPr>
        <w:jc w:val="both"/>
        <w:rPr>
          <w:lang w:val="en-US" w:eastAsia="en-US" w:bidi="ar-SA"/>
        </w:rPr>
      </w:pPr>
      <w:bookmarkStart w:id="59" w:name="Counsel_8"/>
      <w:bookmarkEnd w:id="5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9" style="position:absolute;z-index:2517186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A.H.G. Johnsen, for the plaintiff. T.P. Matte, for the defendant, Olsson.</w:t>
      </w:r>
      <w:r>
        <w:rPr>
          <w:lang w:val="en-US" w:eastAsia="en-US" w:bidi="ar-SA"/>
        </w:rPr>
        <w:cr/>
      </w:r>
    </w:p>
    <w:p>
      <w:pPr>
        <w:spacing w:after="240"/>
        <w:rPr>
          <w:lang w:val="en-US" w:eastAsia="en-US" w:bidi="ar-SA"/>
        </w:rPr>
      </w:pPr>
      <w:bookmarkStart w:id="60" w:name="Judgment_8"/>
      <w:bookmarkEnd w:id="60"/>
      <w:r>
        <w:pict>
          <v:line id="_x0000_s1070" style="position:absolute;z-index:25176985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1" w:name="CHAMBERLIST J."/>
            <w:bookmarkEnd w:id="61"/>
            <w:r>
              <w:rPr>
                <w:rFonts w:ascii="arial" w:eastAsia="arial" w:hAnsi="arial" w:cs="arial"/>
                <w:b/>
                <w:color w:val="000000"/>
                <w:sz w:val="30"/>
                <w:lang w:val="en-US" w:eastAsia="en-US" w:bidi="ar-SA"/>
              </w:rPr>
              <w:t>CHAMBERLIST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personal injuries sustained as a result of a motor vehicle accident that occurred in the City of Prince George on the 10th day of January 1997. The accident occurred when the plaintiff, driving a 1973 3/4 Ton Dodge Power Wagon, was northbound on Highway 97. He was proceeding at approximately 45 to 50 kilometers per hour in the left side lane. The opposing vehicle heading south lost control and crossed into his lane colliding with his 3/4 ton pickup on the front driver's side. His pickup truck was a write-off. The plaintiff was wearing his seatbelt.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Olsson admits liability for the accident and does not raise any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estimated the defendant Olsson's vehicle to be travelling at between 70 to 100 kilometers per hour. The plaintiff describes having hit his head against the side window of his truck and that his shoulder hit the driver's side door. The plaintiff described his left arm flying off his steering wheel.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only issue arising out of this accident is the quantum of damages sustained by the plaintiff recoverable against the defendant relative to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David Nelson Gallagher was 29 years of age at trial and single. He has a grade 11 education and most of his work employment has been as a labourer.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the accident he saw a doctor at the Prince George Regional Hospital and followed up with a visit to another medical practitioner, Dr. Young. At the Prince George Regional Hospital he was seen by Dr. A. Kuan. The emergency ward admission history chart indicated that Mr. Gallagher was in mild distress and there was tenderness on palpation of his sternomastoid muscles bilaterally. It was noted that there was a decrease of all range of motion in his neck and that there was tenderness on palpation of his left shoulder with decrease in elevation of the left shoulder. His clavicle was not noted to be tender on palpation on the left side. There was no evidence of fracture or dislocation of his cervical spine. The impression noted by Dr. Kuan was that there were contusions of his head, with a question mark as to concussion with soft tissue injury to the neck and soft tissue injury of the left shoulder. He was told to stay off work by Dr. Kuan for one week and to follow up with his family doctor in the following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clinical records of Dr. Young also refer to low back/neck problems and record that he was given a neck brace for a couple of days. It was noted on the January 14th, 1997, visit that Mr. Gallagher still had complaints of his paralumbar area, infrascapular and neck pain and occasional numbness to his elbow. It was noted that range of motion in the neck was lessened.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was again seen by Dr. Young on January 17th, 1997, and Dr. Young noted in his clinical records that the plaintiff was still stiff in his left shoulder and low back and complained of spasms in his left paradorsal and lumbar area, but that he appeared to have a good range of motion in his lower back. It was also noted that he had good shoulder range of motion.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was seen again by Dr. Young on January 29th, 1997, being almost three weeks post-accident. He still exhibited shoulder pain although he noted "low back feels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Gallagher commenced physiotherapy at the Victoria Sports Physiotherapy Clinic on January 21st, 1997, and attended regularly for physiotherapy. A May 16th, 1997, progress report contains the following remarks: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David did very well in the program, regained near full lumbar ROM &amp; cervical ROM . . .</w:t>
      </w:r>
    </w:p>
    <w:p>
      <w:pPr>
        <w:spacing w:before="120" w:line="260" w:lineRule="atLeast"/>
        <w:ind w:left="720"/>
        <w:rPr>
          <w:lang w:val="en-US" w:eastAsia="en-US" w:bidi="ar-SA"/>
        </w:rPr>
      </w:pPr>
      <w:r>
        <w:rPr>
          <w:rFonts w:ascii="arial" w:eastAsia="arial" w:hAnsi="arial" w:cs="arial"/>
          <w:color w:val="000000"/>
          <w:sz w:val="20"/>
          <w:lang w:val="en-US" w:eastAsia="en-US" w:bidi="ar-SA"/>
        </w:rPr>
        <w:t>My impression is that Dave should go back to work full duties but 4 hours 1st week, 6 hrs 2nd week &amp; 8 hrs 3rd week. . .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Over this time period Mr. Gallagher complained of pain in the left side of his temporomandibular jaw (TMJ) and those complaints were noted both by his family doctor and the Victoria Sports Physiotherapy Clinic.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was seen on June 9th, 1997, by Dr. Robert W. Elliott, Certified Orthodontist. A tentative treatment plan for the plaintiff was proposed. It consisted of the utilization of three occlusal appliances. The first was to be an ARS occlusal appliance to be worn approximately six months immediately, followed by an MRS occlusal appliance to be worn for approximately six months thereafter, together with a program of possible long time splint wear of the MRS occlusal appliance.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through the defendant's insurer, obtained the first portion of the recommended TMJ treatment but did not receive any further treatment due to his inability to afford same.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accordance with the recommendations of his return to work program, Mr. Gallagher returned to work with his regular employer, Woodland Lumber Ltd., on or about the 10th day of June 1997. At trial he testified that he was feeling good generally although he had some pain and continued to have headaches which had occasioned after the accident and experienced some pain in his jaw and lower back. In his words the "pain was getting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Regretfully, Mr. Gallagher's return to work was cut short by a work related injury that was sustained on October 10th, 1997, when a board jumped back on a rip saw he was operating, hitting the plaintiff in his lower back. As a result, Mr. Gallagher was off work until early March 1998 on a Workers Compensation Board claim. Following his return to work in March of 1998, he was within a few days fired for absenteeism. Mr. Gallagher maintained at trial that he lost his job due to missing work because of the WCB claim and the motor vehicle accident in question, but this claim remained unsubstantiated except for his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his loss of employment in March of 1998, he looked for work in the Prince George area but was unable to find work locally and, as a result, left Prince George in June of 1998 for Grand Forks, Alberta, where he resided with his mother for a few months and then in the summer of 1998 moved to Medicine Hat, Alberta.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worked in a slaughter house for some three months. The work was physically demanding work. Mr. Gallagher worked on what may be called an assembly line where he de-horned and de-hoofed cattle. It was a physically demanding job and required quickness and repetition. He testified that he had a lot of problems with his back getting sore, shoulder being sore and headaches. He related these physical problems to the motor vehicle accident. He left this work after some three months because he was unable to perform the physical requirements of the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subsequently, in the fall of 1998, looked for work in the Medicine Hat area, including work with the pipelines, oil rigs and nurseries, but was unable to find work. He admitted to filling out forms for work indicating no medical problems but explained that he had lied to obtain the work. He subsequently returned to the Grand Forks area and has looked for work ever since without any success. He testified that he does not believe that he can now perform laborious work because the pain in his back and shoulder prevents him from doing physically demanding work. As a result, he plans to retrain, at first by upgrading his education to grade 12 and then proceeding to Selkirk College.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Gallagher also claims damages for pain and suffering related to his TMJ problem. He testified that he is consistently biting his inner cheek and he also finds that since the accident he has been slurring his words.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present time, Mr. Gallagher is being prescribed muscle relaxants which he takes three times per day for lower back, shoulder and neck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his relocation to Medicine Hat he was seen by Dr. Mark Thorogood. He went to see Dr. Thorogood as a result of having experienced neck pain for some two days. Dr. Thorogood refers to that presentation on October 22nd, 1998, in his report of January 7th, 1999. In that report, he says, relative to that visit: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 . His complaint at the time of presentation to me on </w:t>
      </w:r>
      <w:r>
        <w:rPr>
          <w:rFonts w:ascii="arial" w:eastAsia="arial" w:hAnsi="arial" w:cs="arial"/>
          <w:color w:val="000000"/>
          <w:sz w:val="20"/>
          <w:u w:val="single"/>
          <w:lang w:val="en-US" w:eastAsia="en-US" w:bidi="ar-SA"/>
        </w:rPr>
        <w:t>October 22, 1998</w:t>
      </w:r>
      <w:r>
        <w:rPr>
          <w:rFonts w:ascii="arial" w:eastAsia="arial" w:hAnsi="arial" w:cs="arial"/>
          <w:color w:val="000000"/>
          <w:sz w:val="20"/>
          <w:lang w:val="en-US" w:eastAsia="en-US" w:bidi="ar-SA"/>
        </w:rPr>
        <w:t>, was of neck pain for 2 days. He said that it had started while he was sneezing. There was no history of recent injury. Clinical examination was completely normal. He was assessed as having musculoskeletal pain, and was advised to treat himself symptomatically, and he was advised to go back to work that day. . . .</w:t>
      </w:r>
    </w:p>
    <w:p>
      <w:pPr>
        <w:spacing w:before="120" w:line="260" w:lineRule="atLeast"/>
        <w:ind w:left="720"/>
        <w:rPr>
          <w:lang w:val="en-US" w:eastAsia="en-US" w:bidi="ar-SA"/>
        </w:rPr>
      </w:pPr>
      <w:r>
        <w:rPr>
          <w:rFonts w:ascii="arial" w:eastAsia="arial" w:hAnsi="arial" w:cs="arial"/>
          <w:color w:val="000000"/>
          <w:sz w:val="20"/>
          <w:lang w:val="en-US" w:eastAsia="en-US" w:bidi="ar-SA"/>
        </w:rPr>
        <w:t>He represented to me on October 29, 1998, complaining of neck pain and pain in the region of the left shoulder and lower back which he said was since October 20, 1998. No history of injury. Clinical examination was normal. He was once again made fit for normal work.</w:t>
      </w:r>
    </w:p>
    <w:p>
      <w:pPr>
        <w:spacing w:before="120" w:line="260" w:lineRule="atLeast"/>
        <w:ind w:left="720"/>
        <w:rPr>
          <w:lang w:val="en-US" w:eastAsia="en-US" w:bidi="ar-SA"/>
        </w:rPr>
      </w:pPr>
      <w:r>
        <w:rPr>
          <w:rFonts w:ascii="arial" w:eastAsia="arial" w:hAnsi="arial" w:cs="arial"/>
          <w:color w:val="000000"/>
          <w:sz w:val="20"/>
          <w:lang w:val="en-US" w:eastAsia="en-US" w:bidi="ar-SA"/>
        </w:rPr>
        <w:t>He then represented to me again in the office for an office visit on November 13, 1998, complaining of sore neck and right hand. He said that he had a work injury to his neck from de-horning cattle, and from moving his arms up above his head and from heavy lifting. He also informed me at that visit that he had quit his job on October 30, 1998.</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was subsequently seen by Dr. Michael Weigel on the 10th of June 1999, in Medicine Hat, and thereafter by Dr. Jeffrey G. Coleshill in Grand Forks. Dr. Coleshill's letter of March 6, 2000, makes it clear that his assessment is unreliable because of either misinformation or misapprehension of information that was supplied by the plaintiff. At the third paragraph of the March 6, 2000, letter addressed to counsel for the plaintiff, Dr. Coleshill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Gallagher has not been able to do full time work since his MVA on the 10th of January 1997. It is fairly common knowledge that when a person is experiencing back pain, and has not been able to return to full time work within six months of the precipitating incident, that it is highly unlikely they will be able to participate in full time gainful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of course, is totally inconsistent with the evidence at trial. Mr. Gallagher was able to return to full time duties with Woodland Lumber on or about June 10th, 1997, and in all probability would have continued with that employment had it not been for his work related injury sustained in October of that year. Neither does the doctor appear to have been informed of the three months labour intensive work the plaintiff performed at the slaughter house in Medicine 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Against this background the plaintiff seeks damages under the following heads - non-pecuniary damages, damages for past income loss and past loss of earning capacity, damages for future loss of earning capacity, cost of future dental treatments related to the temporomandibular joint injury and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starting point on an assessment of damages in a case such as this, where the plaintiff seeks to link his current situation with a motor vehicle accident which was followed by ostensibly full recovery within five months, and thereafter a serious back injury occurring on the job, followed by a further work related injury while performing physically demanding work at a slaughter house, is this excerpt from Maslen v. Rubenstein </w:t>
      </w:r>
      <w:hyperlink r:id="rId131"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at p. 136, where Mr. Justice Taylor, speaking for our Court of Appeal,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With respect to the evidence required in order to meet the onus lying on a plaintiff in such cases, Chief Justice McEachern (then sitting as a trial judge) in Price v. Kostryba </w:t>
      </w:r>
      <w:hyperlink r:id="rId13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repeating his observations in Butler v. Blaylock, </w:t>
      </w:r>
      <w:hyperlink r:id="rId133"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(October 7, 1981), Doc. Vancouver B781505 (B.C.S.C.)), put it thus [p.399]:</w:t>
      </w:r>
    </w:p>
    <w:p>
      <w:pPr>
        <w:spacing w:before="120" w:line="260" w:lineRule="atLeast"/>
        <w:ind w:left="1080"/>
        <w:rPr>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lang w:val="en-US" w:eastAsia="en-US" w:bidi="ar-SA"/>
        </w:rPr>
      </w:pPr>
      <w:r>
        <w:rPr>
          <w:rFonts w:ascii="arial" w:eastAsia="arial" w:hAnsi="arial" w:cs="arial"/>
          <w:color w:val="000000"/>
          <w:sz w:val="20"/>
          <w:lang w:val="en-US" w:eastAsia="en-US" w:bidi="ar-SA"/>
        </w:rPr>
        <w:t>So there must be evidence of a "convincing" nature to overcome the improbability that pain will continue, in the absence of objective symptoms, well beyond the normal recovery period, but the plaintiff's own evidence, if consistent with the surrounding circumstances, may nevertheless suffice for the purpose.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Following the accident Mr. Gallagher went through a rigorous course of physiotherapy and returned to work. His work was physically demanding and he was able to perform that work. He was re-injured in October of 1997. The medical clinical reports indicate the lower back injury sustained in October was aggressively treated.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satisfied that there is no evidentiary basis, other than the testimony of the plaintiff, to conclude that any injury sustained by the plaintiff was symptomatic past June 1997 other than his TMJ problem and some minor discomfort associated with his back and shoulder. The intervening injury of October 1997 and the injury at the slaughter house recorded by Dr. Coleshill makes it difficult to objectively link the plaintiff's current condition and his condition following October 20th, 1997, with the motor vehicle accident of January 10th, 1997. The plaintiff has not satisfied the onus that lies with him in establishing his claim that his present condition is linked causally to the 1997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find that not only has he failed to establish non-pecuniary damages past June 1997 but he has failed to establish even the possibility of future loss of earning capacity as mandated by Pallos v. Insurance Corporation of British Columbia </w:t>
      </w:r>
      <w:hyperlink r:id="rId13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addition, I found Mr. Gallagher to be a poor historian.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do not accept that discrepancies would necessarily happen because of Mr. Gallagher's level of education. He was successfully confronted under cross-examination by defence counsel with respect to misstatements given on his examination for discovery, and apparently erroneous statements given to his treating physicians in Alberta, being Drs. Weigel and Coleshill. As such, I find that Mr. Gallagher's evidence does not have the necessary reliability to get him past the otherwise objective evidence disclosed by his treatment and subsequent return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Nevertheless, Mr. Gallagher was involved in a motor vehicle accident that was not of the low impact variety upon which the defendant bases its quantum assessments on. He was off work for some five months, experienced considerable pain in his neck and shoulder and TMJ. He also experienced headaches. I find that there had been almost full recovery of the physical injuries other than the headaches and TMJ within six months. The headaches continued some time later and the TMJ problem still requires to be addressed by Mr. Gallagher. I find that he did not follow through with the TMJ treatment recommended by Dr. Elliot for reasons that only he can answer for. If he has continuing problems, those, I find, are as a result of his failure to mitigate.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all of the circumstances, I fix Mr. Gallagher's non-pecuniary damages at $13,000.00. I do not award the plaintiff anything for his past loss of earning capacity nor for the damages claimed for future loss of earning capacity as he has not established, in my view, even the possibility of such loss being attributable to the subject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has presented evidence of gross wage loss calculated by his employer at $11,915.12. Against this figure however must be viewed the plaintiff's rate of absenteeism from when he started work with the employer on February 26, 1996. Taking into account his record of employment and projecting into the time period January 1997 through June 1997, it is appropriate to reduce the gross wage loss claim by 10%. As a result, the gross wage loss claim of $11,915.12 will be reduced by $1,191.50 for a total gross wage loss of $10,723.62.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TMJ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recommended treatment by Dr. Elliot for Mr. Gallagher's TMJ injury is allowed at the amount claimed being $2,520.00 less 1/3rd for the appliance already provided by insurers for the defendant. I rely on the submission made by Mr. Matte for the accuracy of the fact that the appliance was indeed provided. If the parties are unable to agree as to what the actual cost of that appliance was or wish to address the appropriate reduction because of the supply of that apparatus they are at liberty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will also be entitled to the following special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604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Paid for Dr. Young's form fees</w:t>
            </w:r>
          </w:p>
        </w:tc>
        <w:tc>
          <w:tcPr>
            <w:tcW w:w="2560"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$ 90.00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604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Paid Victoria Sports Physiotherapy account</w:t>
            </w:r>
          </w:p>
        </w:tc>
        <w:tc>
          <w:tcPr>
            <w:tcW w:w="2560"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52.50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604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Paid for Dr. Lo's account</w:t>
            </w:r>
          </w:p>
        </w:tc>
        <w:tc>
          <w:tcPr>
            <w:tcW w:w="2560"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175.00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Dr. Rigler's account up to July 21, 1997</w:t>
            </w:r>
          </w:p>
        </w:tc>
        <w:tc>
          <w:tcPr>
            <w:tcW w:w="2560"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149.00</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$ 466.50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summary, the defendant shall also pay to the plaintiff damages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751"/>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Non-pecuniary damages</w:t>
            </w:r>
          </w:p>
        </w:tc>
        <w:tc>
          <w:tcPr>
            <w:tcW w:w="2970"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$ 13,000.00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Past Income Loss</w:t>
            </w:r>
          </w:p>
        </w:tc>
        <w:tc>
          <w:tcPr>
            <w:tcW w:w="2970"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10,723.62</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Damages relative to TMJ apparatus 1/3rd</w:t>
            </w:r>
          </w:p>
        </w:tc>
        <w:tc>
          <w:tcPr>
            <w:tcW w:w="2970"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1,680.00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of $2,520.00 subject to liberty of</w:t>
            </w:r>
          </w:p>
        </w:tc>
        <w:tc>
          <w:tcPr>
            <w:tcW w:w="2970"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parties to apply</w:t>
            </w:r>
          </w:p>
        </w:tc>
        <w:tc>
          <w:tcPr>
            <w:tcW w:w="2970"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632"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 Damages</w:t>
            </w:r>
          </w:p>
        </w:tc>
        <w:tc>
          <w:tcPr>
            <w:tcW w:w="2970"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466.50</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4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$ 25,870.12</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together with court order interest on the applicable amounts. As requested by the defence, the parties are at liberty to address the matter of costs if they cannot otherwise agree.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CHAMBERLIST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Gill v. Bassi, [2014] B.C.J. No. 2603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16-20, 23-27, 30,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 7-11, 15-18, 21-25, 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 January 27-31, February 17-21, March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31, April 1-4, 23 and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S096680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2014 BCSC 1972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Shangara Gill, Harmail Romana, Banta Singh Dhillon, Nirmal Singh Pagely, Jaspreet Kaur Gill, Taranjit S. Pagely, Gurdeep Kaur Romana, Plaintiffs, and Jagjit Singh Bassi, Medallion Realty Ltd. doing business as Sutton Group_Medallion Realty, Garrett Ratther, Veerpal Dhillon and Avtar Singh Gill,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2" w:name="Keywords_9"/>
      <w:bookmarkEnd w:id="62"/>
      <w:r>
        <w:rPr>
          <w:rFonts w:ascii="arial" w:eastAsia="arial" w:hAnsi="arial" w:cs="arial"/>
          <w:b/>
          <w:color w:val="000000"/>
          <w:sz w:val="20"/>
          <w:lang w:val="en-US" w:eastAsia="en-US" w:bidi="ar-SA"/>
        </w:rPr>
        <w:t>Contracts — Misrepresentation — What constitutes — Fraudulent misrepresentation — Action by plaintiffs for damages for fraudulent misrepresentation dismissed — Plaintiffs claimed that defendants, who included realtors, fraudulently misrepresented prices paid to vendors for lots such that plaintiffs advanced money substantially in excess of true prices — Real prices were stated in contracts — It was unlikely that plaintiffs failed to even look at numbers in contracts or notice that prices allegedly stated by defendants were not there.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Misrepresentation — Fraudulent misrepresentation — Action by plaintiffs for damages for fraudulent misrepresentation dismissed — Plaintiffs claimed that defendants, who included realtors, fraudulently misrepresented prices paid to vendors for lots such that plaintiffs advanced money substantially in excess of true prices — Real prices were stated in contracts — It was unlikely that plaintiffs failed to even look at numbers in contracts or notice that prices allegedly stated by defendants were not there.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Particular relationships — Sale of land — Action by plaintiffs for damages for fraudulent misrepresentation dismissed — Plaintiffs claimed that defendants, who included realtors, fraudulently misrepresented prices paid to vendors for lots such that plaintiffs advanced money substantially in excess of true prices — Real prices were stated in contracts — It was unlikely that plaintiffs failed to even look at numbers in contracts or notice that prices allegedly stated by defendants were not there.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3" w:name="Case Summary_8"/>
            <w:bookmarkEnd w:id="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for damages for fraudulent and negligent misrepresentation. The plaintiffs claimed that the defendants, who included realtors, fraudulently misrepresented the prices paid to the vendors for five undeveloped lots such that the plaintiffs advanced money substantially in excess of the true prices; misrepresented the development potential of the lots; and did not disclose the existence of a right of way. The real prices were stated in the contracts, but the plaintiffs did not read them or pay attention to anything that the conveyancing lawyers said about them. The plaintiffs were from India and had a limited ability to read and understand English, but had bought and sold several properties since coming to Canada a few decades earlier. The only direct evidence of the representations came from the plaintiffs.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4" w:name="Holdings of Court_5"/>
            <w:bookmarkEnd w:id="6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lack of credibility could not be allowed to obscure the burden of proof on the plaintiffs to provide clear and convincing evidence of fraud. It was unlikely that the plaintiffs failed to even look at the numbers in the contracts that they were signing or notice that the prices allegedly stated by the defendants were not there. Although the plaintiffs were not highly sophisticated investors, they had experience buying and selling real estate. The court could not ignore the question of why the defendants would risk embarking on a fraudulent scheme that was so dependent for its success on the conveyancing lawyers failing to draw the plaintiffs' attention to the prices and on the assumption that none of plaintiffs would see them. There was no evidence of what level of knowledge a realtor could be expected to have about what could be built on a specific property. Knowledge of the right of way would not have made any difference to the plaintiffs, as they were prepared to buy the lots sight unseen.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5" w:name="Legislation Cited_2"/>
      <w:bookmarkEnd w:id="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3"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6" w:name="Counsel_9"/>
      <w:bookmarkEnd w:id="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R. Jarvis, R. Fernyhough.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Jagjit Singh Bassi, Medallion Realty Ltd. doing business as Sutton Group_Medallion Realty, Garrett Ratther, Avtar Singh Gill, S.B. Twining, G.C. Blanchard.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Veerpal Dhillon, K.K.S. Garcha.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7" w:name="Judgment_9"/>
      <w:bookmarkEnd w:id="67"/>
      <w:r>
        <w:pict>
          <v:line id="_x0000_s1075"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76" type="#_x0000_t75" style="width:338.25pt;height:555.75pt">
            <v:imagedata r:id="rId143"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8" w:name="N.H. SMITH J."/>
            <w:bookmarkEnd w:id="68"/>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separately bought five undeveloped lots near the site of a new private school. They say they were fraudulently induced to pay more than $200,000 for each lot when the actual price paid to the vendors was much lower--in most cases less than half. The rest of their money, the plaintiffs say, went directly or indirectly to the defendants, including the purchase of lots by two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Although the plaintiffs signed documents that disclosed the true price of the lots, they say they signed those documents without reading them because they trusted the principle defendant, Jagjit Bassi, and accepted whatever he told them. In some cases, the plaintiffs say they continued to make payments they believed to be for the lots even after they had obtained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say the plaintiffs knew what they were paying for the lots and any additional payments arose from unrelated debts and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to the alleged misrepresentation of the purchase price, the plaintiffs allege fraudulent or negligent misrepresentation of the lots' development potential and resale value. The alleged misrepresentations include failure to disclose the existence of a sewer right of way that crosses some of the lots and limits the area of the lots that can be built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case turns entirely on credibility, made more difficult by the fact all parties have given some evidence that, on its face, seems improbable. Attempts to base findings of credibility on consistency of the parties' evidence with contemporaneous documents are often frustrated by the fact that documents one would expect to exist apparently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Many of the parties and witnesses have the same surnames. For clarity, some of them must be referred to by their first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Shangara Gill ("Shangara"), Banta Dhillon ("Dhillon"), Nirmal Pagely ("Pagely"), and Harmail Romana ("Romana"), were all born in India and came to Canada as adults --Pagely in 1974, the others in the early 1990s. Romana is a cousin of Shangara's wife. They all say they have limited ability to speak and read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Shangara has worked primarily as a framer while in Canada. Dhillon operates a painting business that also does some renovation work. He was briefly president and director of a company that bought property for the purpose of building and selling houses. Pagely is a retired sawmill worker. Romana owns and operates a driving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Jaspreet Gill ("Jaspreet") is Shangara's daughter, the plaintiff Taranjit Pagely ("Taranjit") is Pagely's son and the plaintiff Gurdeep Romana ("Gurdeep") is Romana's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Jagjit Bassi ("Bassi") and Avtar Gill ("Avtar") are realtors with the defendant Medallion Realty Ltd. doing business as Sutton Group Medallion Realty ("Sutton Group") (collectively the "realtor defendants"). Bassi and Avtar work as partners and equally share all commissions earned by either of them. The defendant Veerpal Dhillon ("Veerpal") is Avtar's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Shangara, Dhillon, and Pagely were all friends of Bassi. They say they met each other through Bassi about five years before the events at issue, but did not know each other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Garrett Ratther ("Ratther") was, at the relevant time, a mortgage broker and former realtor. He did not defend this action at trial and appeared only as a witness called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law firm of Buckley Hogan has its office in Surrey. It is not a party to the action but acted as the conveyancing solicitor for the purchasers in all of the transactions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Khalsa School is a private school that teaches the Punjabi language and Sikh religion along with the BC educational curriculum. On December 30, 2005, the society that operates the school entered into an agreement to buy property for a second campus at 124th Street and Old Yale Road in Surrey. Bassi and Avtar acted as realtors for the school and found the property. The transaction earned them the largest commission of their real-estate careers. The agreement was subject to the property being rezoned and the City of Surrey approved the necessary rezoning on May 29,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lots at issue in this action are across 124th Street from the Khalsa School site. After the Khalsa School agreed to buy its property, but before its rezoning was approved, three different owners entered into agreements to sell a total of 12 neighboring lots. Subject clauses were removed and sales completed only after the Khalsa School rezoning was approved. In most cases, the original contracting purchaser was not the ultimate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Throughout the trial the lots were generally referred to by number and that is how they will be referred to in these reasons. The plaintiff Dhillon acquired Lot 1. The plaintiff Pagely bought Lot 3 in the name of his son Taranjit. The plaintiffs Romana and Gurdeep acquired Lot 4. The plaintiff Shangara bought Lot 5 in the name of his daughter, Jaspreet, and Lot 16 in his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Meanwhile, the defendant Ratther became the registered owner of Lot 2 and the defendant Veerpal the registered owner of Lot 15. In each of those cases, a plaintiff's money was used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Lots 6 through 10 were acquired by buyers who are not parties to this action and are not directly at issue, but the plaintiffs say they are relevant because they allege the buyers were effectively fronts for the defendants Bassi and Avtar.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statutory right of way for the Greater Vancouver Sewerage and Drainage District crosses Lots 1 through 5. That is a major reason, according to the appraisal evidence, that any development of those individual lots is unlikely and they would probably have to be assembled for a single project. They are currently zoned for agricultural use; although Surrey's official community plan contemplates residential development. Lot 16 is zoned for light industrial use, but any development will have to be set back from a fish bearing creek at the edge of the property. The appraisal report also says soft soil will require pre-loading on all of the lots before any development takes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AGREEMENTS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Intercapital Financial Corp. ("Intercapital") owned Lots 1, 2 and 6 through 10 (the "Intercapital Lots"). Alex Taub, the president of Intercapital, testified that Bassi approached him in early February 2006, saying he had a client who was interested in buying the lots. They were not listed for sale at the time, although they had been listed the year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February 14, 2006, Intercapital entered into three agreements to sell its lots to Ratther--one for Lots 1 and 2 at a total price of $176,700, another for Lots 6, 7 and 8 at price of $259,160 and a third for Lots 9 and 10 at a price of $153,140. The total price in the three contracts was $589,000, with Intercapital to receive $550,000 after real estate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unchallenged appraisal evidence at trial, the fair market value of Lot 1 in September 2006 was $82,000. One half of the total purchase price for Lots 1 and 2 was $88,350, or less than 10% higher than the appraiser's value. Given the retrospective nature of the appraisal and the scope for some range of opinion, I find the contracted price reasonably reflected the fair market value of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sale prices of the other lots were similar to that of Lot 1 and there is no appraisal evidence of their value at the time. There is no evidence to suggest that the contracted prices were not a reasonable reflection of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Each of the three contracts for sale of the Intercapital Lots to Ratther was to be completed on July 14, 2006. Each contract was subject to rezoning of the property by June 30, 2006, with no deposit to be paid until subject removal. In fact, no efforts were made to rezone the lots. The effect of the contracts was to tie up the property at no cost to the buyer until after the city approved the rezoning of the neighboring Khalsa School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asked why he drew up three contracts instead of a single contract for Ratther's purchase of all of the Intercapital Lots, Bassi said the space for land title office Property Identification Numbers ("PIN") on the standard form contract was not large enough to include the numbers for all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Ratther testified that he never intended to complete the purchase. He said that although he believed the value of the property would increase when the Khalsa school property was rezoned, he did not have the money to complete and made no attempt to secure financing. According to Ratther, Bassi and Avtar were to find the money to complete the purchase and the three of them would share the profit on a subsequent resale.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Bassi agreed that he thought property values around the Khalsa School property would go up if the re-zoning was approved, but said Ratther asked him to look for property. He denied the alleged arrangement with Ratther to share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Lots 3 and 4 were owned by Rajendra and Manjula Mishra and Lot 5 by their son, Richard (the "Mishra Lots"). After being approached by Bassi the Mishras entered into agreements, dated May 12, 2006, to sell the three lots to a Gurinder Saini. The purchase price was $80,000 each for Lots 3 and 5 and $67,000 for Lot 4. The three contracts had identical subject clauses to be removed by July 30, 2006, and a completion date of September 27,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subject clauses included the purchaser receiving and being satisfied with an inspection report "from an inspecting body, concerning environmental." There is no evidence of any effort by anyone to obtain such an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the appraisal evidence, Lots 3 and 4 had a fair market value in 2006 of $65,000 and $66,000, respectively, while Lot 5 had a fair market value of $84,000. It therefore appears that only Lot 3 was significantly overpriced, although the total price for the three lots was close to the total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with the Intercapital Lots, the contracts put the buyer in a position where he could simply refuse to remove the subjects and walk away from the transaction at no cost if the Khalsa School rezoning was not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Saini, the buyer named in the contracts, did not testify. The evidence indicates that he was a recent immigrant who worked in a convenience store and had previously known Avtar in India. He never became the owner of any of the lots, although he signed subject removals on July 26,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Bassi testified that he had expected Ratther and Saini to complete on their purchases and was surprised when both of them were later unable to. However, there is a similar pattern between the two sets of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properties were not listed for sale, but Bassi approached the vendors, saying he had a client interested in the property. In each case, the agreements were subject to the buyers acquiring something they made no effort to obtain--a rezoning of the property in the case of the Intercapital lots and a site inspection in the case of the Mishra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each case, the agreements say nothing about the Khalsa School rezoning, but were structured so that the purchaser did not have to pay anything--not even a deposit--until after the date the rezoning was expected to be approved and could refuse to complete for other reasons if the rezoning was not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Bassi's explanation for dividing the transaction with Intercapital into three separate agreements, all with the same purchaser and with identical terms, is not credible. The problem of insufficient space for all of the PIN numbers could have been solved simply by reference to an additional page in a single agreement. The Mishra Lots were also the subject of three separate agreements, although two of them had the same vendors and could have been dealt with in single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those similarities make it more likely than not that Bassi used Ratther and Saini as purchasers of convenience, knowing they were not likely to complete. The multiple agreements made it possible to assign contracts to a larger number of ultimate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Bassi expected to find assignees for the agreements after he knew the Khalsa School project was going to proceed. That allowed him and Avtar to obtain real estate commissions on the purchase of all of the lots and gave them a chance to earn further commissions when and if the ultimate purchasers resold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Lots 15 and 16 were owned by a Jarnail Rai and were listed for sale in April 2006 at a price of $174,900 each. The listing realtor was Major Sahota who, like Bassi and Avtar, worked at Sutton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Shangara signed an offer dated May 31, 2006, to buy Lot 16 for $137,500, a price that, according to appraisal evidence, accords with fair market value at the time. This is the only lot purchased by a plaintiff who was the original contracting buyer. Meanwhile, Ratther signed an offer on the same day to purchase Lot 15 for the same price. The offers were accepted by the vendor two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Shangara testified that either Bassi or Avtar had told him that two lots were available near the site of the new Khalsa School and that Avtar told him he was buying one for his sister. He said he signed a number of blank documents that Avtar brought to his door. At the time he signed those documents, Shangara said he had not yet been told the purchase price and had not seen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Bassi's version of events is that Ratther and Shangara approached him together, saying they had seen a for sale sign on the property. Ratther identified his signature on the Lot 15 contract, but denied any knowledge of that transaction. This evidence makes no sense in light of Ratther's experience as a realtor. I find that, as with the Intercapital Lots, Ratther was a contractual placeholder on Lot 15 until Bassi could find another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DEPOSITS AND ASSIGNMENTS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Intercapital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Ratther removed the final subject clauses on the Intercapital Lots on June 16, 2006--two and a half weeks after the Khalsa School rezoning was approved. A $30,000 deposit then became payable within 24 hours. Although Sutton Group issued a receipt for that deposit in the name of Ratther, the deposit was actually paid with a draft drawn on the plaintiff Pagely's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Pagely testified that Bassi brought him two sequentially numbered cheques for $15,000, dated June 15, 2006, and asked him to deposit the cheques into his account before obtaining a draft for $30,000. The cheques were made out to Pagely and drawn on the account of Bassi's wife, Jagroop Bassi ("Jagroop"). The draft drawn on Pagely's account says "re Garrett." Pagely testified that he did not know Ratther at the time. He said he met Bassi at the bank and simply told the teller to make out the draft on Bassi's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Bassi said he received the draft from Ratther and was not aware the money came from Pagely. He said his wife's cheques to Pagely related to a separate transaction in which Pagely had asked to borrow $30,000. Pagely denied there was any such loan, saying he had no need to borrow money because he had recently sold his house and had $400,000 in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bank records are consistent with Pagely's evidence, including the lack of any reason for him to be borrowing money. I therefore find that Bassi provided the money for the deposit, although it is not clear why he could not have simply provided the money directly to Ratther, the named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Richard Garcia ("Garcia"), the managing broker for Sutton Group, gave evidence that it would not be acceptable to issue a receipt to anyone other than the person who provided the funds, but Sutton Group relied on the salesperson to provide the necessary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Dhillon said that Bassi told him in late June 2006 that there was property available near the new Khalsa School site and that a lot that was actually worth $300,000 could be acquired for only $200,000. Dhillon said that, after viewing a plan and without seeing the property, he selected Lot 1 and gave Bassi a $30,000 deposit in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July 5, 2006, Ratther assigned a one half interest in the contract to purchase Lots 1 and 2 to Dhillon. An earlier draft assignment, signed by Ratther but not by Dhillon, called for assignment of Ratther's full interest in both lots for one dollar. Bassi said Ratther and Dhillon came to him together with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completed assignment document refers to two lots and a purchase price of $176,700. Dhillon agreed that his signature appears on that assignment, but said he has no recollection of seeing or signing it. Neither his signature nor Ratther's was witnessed, although the form of document calls for signature by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Bassi said that he never saw the completed assignment and believes there was a separate arrangement between Dhillon and Ratther. But the assignment was in a Sutton Group's file and a copy was faxed from Sutton Group to the conveyancing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same day he assigned half of his interest in Lots 1 and 2, Ratther assigned the contract to purchase Lots 6, 7 and 8 to Rajwinder Janda ("Janda"), a friend of Bassi, and the contract to purchase Lots 9 and 10 to Jasbir Nahal ("Nahal"), Bassi's sister-in-law. Neither Janda nor Nahal gave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Bassi said that Ratther was desperate to assign the purchase contracts because he had been unable to obtain a mortgage. As with Lots 1 and 2, Ratther said he had made no attempt to get financing and he never intended to complete. He said he never met Janda and signed the assignments at Avtar's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Ratther was in many respects not a credible witness, I prefer his evidence on this point because of the way the contracts were structured and the similar pattern to what happened with the Mishra Lots. There is no evidence that Ratther had the means to purchase all of these lots or that Bassi had any reason to think he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Mishra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$15,000 deposit required for the Mishra Lots was paid on July 27, 2006, with a draft from Dhillon, who testified that he had borrowed $20,000 from Bassi about two weeks earlier. Dhillon said Bassi asked him to come with him to the bank, where they obtained a draft in the amount of $15,000 made out to Sutton Group. Dhillon said he understood this was part repayment for the $20,000 loan but did not know why the draft was made out to Sutton Group. Sutton Group issued a receipt in the name of Saini.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Bassi said Dhillon verbally agreed to take an assignment of the lots, but later assigned the contract back to Saini, also verbally. Dhillon said that at one point he was interested in one of the lots, but denied that he ever wanted to buy all three.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Pagely said Bassi told him in mid-September 2006 about an opportunity to purchase property near the new Khalsa School. According to Pagely, Bassi told him there were five lots available, that he was going to give his friends an opportunity to buy one each and that one lot could be purchased for $200,000 and resold $300,000. Pagely agreed, without seeing the property in person, to purchase Lot 3 in the name of his son Taranjit, who at the time was living in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Bassi said Dhillon, Shangara and Pagely came to him and said Dhillon had assigned Lots 3, 4 and 5 to Shangara and Pagely. In fact, Dhillon could not have assigned anything at that point because Saini was still the buyer under the agreements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An assignment of Lot 3 from Saini to Pagely is dated September 13, 2006. Pagely identified his signature on the document, but said he had no knowledge of it. Assignments of Lots 4 and 5 to Shangara are dated the same day. Shangara also recognized his signature, but said he had no recollection of seeing the document at the time. Bassi witnessed the signatures of both Pagely and Shangara on the assignments, all of which refer to the true purchase price as set out in the agreements of purchase and 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Lots 15 and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Shangara paid a $5,000 deposit for Lot 16 by cheque dated June 18, 2006. He said he signed that cheque at the same time that he signed other documents that Avtar brought to his door. The $5,000 deposit for Lot 15 was paid by the defendant Veerpal, Avtar's sister. The contract of purchase and sale of Lot 15 showed Ratther as the buyer and there is no evidence of a written assignment. Bassi said there was a verbal assignment when Veerpal paid the deposit, but Veerpal said she did not know Ratther.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Veerpal said she was approached by Shangara and his wife, with whom she had once worked, about buying Lot 15. She said they told her the seller wanted to sell Lots 15 and 16 together and a friend (presumably Ratther) with whom they were going to buy both lots was unable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all of the transactions at issue, Buckley Hogan acted as the conveyancing solicitors for the purchasers, although none of the plaintiffs had any previous dealings with that firm. In all cases, the initial instructions to Buckley Hogan came with information on the transaction, commonly called a "deal sheet," from Sutton Group. I find it unlikely that the plaintiffs independently instructed Sutton Group to contact the same firm and find it more likely that Bassi or Avtar either recommended Buckley Hogan or simply took it upon himself to send the files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Sean Hogan, a partner in the firm, gave evidence but, as would be expected in the circumstances, had no independent recollection of these transactions. He could only give evidence of the firm's usual practice. That usual practice included reviewing the statement of adjustments with the client, including the purchase price and the balance needed to complete, and reviewing the title documents, including the existence of any encumbrances such as a right of way. A typical meeting for those purposes would last 15 to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Because the firm has a large Indo-Canadian clientele, Hogan said he would typically have a casual conversation to assess the client's fluency in English. If he thought the client was having difficulty, the firm had employees who could act as interpreters.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Hogan said that if the person taking title was not the contracting party under the agreement of purchase and sale, he would want documents verifying an assignment, except perhaps in cases involving close family members. He also said that if trust funds were being transferred from one transaction to another, the firm would have to get instructions from the client, although the practice in 2006 did not require those instructions to be in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Lots 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Dhillon said that Bassi called him on July 11, 2006, to say the purchase of Lot 1 was to complete the following day and told him how much money he needed to take to Buckley Hogan. Dhillon obtained a draft for $170,036 the following day after he said he received numerous calls from Bassi and Avtar.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Bassi denied that he contacted Dhillon to tell him the balance owing or that he obtained that information from Buckley Hogan, but his phone records confirm 11 calls to Dhillon on July 11 and 12, 2006. Bassi said the calls to Dhillon were about an unrelated project that he and Dhillon were working on at the time. This suggestion was not put to Dhillon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Ratther and Dhillon went to Buckley Hogan's offices on July 12, 2006, and signed a purchaser's statement of adjustments indicating they were buying Lots 1 and 2 together for a purchase price of $176,700. That was in accordance with the assignment document they had both at signed. But the transfers were registered with Dhillon as the sole owner of Lot 1 and Ratther as the sole owner of Lot 2. There is nothing in the Buckley Hogan file to indicate how that change came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statement of adjustments credits a deposit of $10,000--part of the money that had been paid through Pagely's bank account. It said nothing about the $30,000 cash deposit Dhillon said he gave Bassi. The total amount needed to complete, including adjustments and legal fees, was $170,035.49, which was provided through Dhillon's 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end result was that Dhillon paid for two lots but became the registered owner of only one, while Ratther, who paid nothing at all, acquired the second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 letter to plaintiffs' counsel dated June 19, 2011, before he was added as a defendant, Ratther said he had agreed to hold one lot in his name for Dhillon because Dhillon had certain tax problems and did not want too many properties in his own name. That is consistent with the defendants' theory of what happened, and with Dhillon's evidence that he in fact owed a tax debt of about $200,000. But Ratther said at trial that he had lied in the letter to counsel and had simply provided the answers Bassi and Avtar told him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trial, Ratther testified that he knew Bassi had sold lot one for $200,000, but he did not know that Dhillon was the buyer until they saw each other at Buckley Hogan on the day of completion. But Ratther had signed the removal of the final subject when he did not have the funds to complete. As a former realtor he must have known that he was putting himself at financial risk by making the agreement final and binding and would be unlikely to remove the subject unless he was confident the contract would be 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denied assigning half an interest in his contract to Dhillon, although he admitted that his signature is on the assignment document. He said he became aware of the fact that Dhillon was buying one lot for $200,000 but, again, as a former realtor, he had to have known that any purchase by Dhillon required an assignment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Ratther admitted that he signed the statement of adjustments that disclosed the purchase price of $176,700 for both Lots 1 and 2. He therefore knew that the $200,000 Dhillon was supposedly paying for one lot was in excess of the purchase price for two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cross-examined at trial, he repeatedly maintained that Dhillon had agreed to pay $200,000 for Lot 1 and that is what Dhillon got. He offered no coherent explanation for his own acquisition of Lot 2 at no cost to himself. He also testified that Dhillon did not know he was paying for two lots but in view of his earlier false statement on this point, I can place no weight on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Ratther and Dhillon say they met together with Hogan, but both deny there was any previous arrangement between them. Dhillon said he had the impression that Ratther was signing documents because Ratther was also purchasing a lot. He said there was no discussion about the documents before he and Ratther started signing them and he did not read them. He said the lawyer did not point out to him the purchase price or the balance owing and said Bassi had told him the purchase price. Ratther said Hogan went through the statement of adjustments and explained that the purchase price was $176,000.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addition to signing the statement of adjustments, Ratther and Dhillon also signed property transfer tax returns that referred to a purchase price of $88,350 for each lot. Dhillon and Ratther both signed each other's tax form, which Hogan admitted was 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completion, Buckley Hogan revised the vendor's statement of adjustments to add Goods and Services Tax ("GST") to the purchase. There was no revised purchaser's statement of adjustments in Buckley Hogan's file. The GST was ultimately paid with funds from Jagroop and Avtar. Bassi and Jagroop said this was done because Dhillon refused to pay it. Dhillon said he did some painting and renovation work for Bassi in lieu of what was owed for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completion of the sale of Lots 6, 7 and 8 to Janda and Lots 9 and 10 to Nahal took place on July 12, 2006, the same day as the completion on Lots 1 and 2. The funds used to purchase Lots 9 and 10 came from Jagroop's line of credit. Jagroop said she loaned the money to her sister without telling her husband. The Buckley Hogan records show receipt of a $200,000 draft from Janda on July 13,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allege that Lots 6 to 10 were subsequently resold to a Mr. Malik, with profits on the resale flowing to Bassi and Avtar. The evidence of this resale is hearsay and no findings of fact can be made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Dhillon said that about a month after he purchased Lot 1, he told Bassi that Mukhtiar Tumber ("Tumber"), Dhillon's partner in the home building business, was interested in purchasing a lot for a friend and Bassi said Lots 3, 4, and 5 were available for $200,000 each. He said he and Tumber reviewed documents at Surrey City Hall, where they learned about the right of way. Tumber decided to buy Lot 5, which was the least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Dhillon said Tumber wanted to see the purchase documents and he asked Bassi for them on Tumber's behalf. He said Bassi told him they would only show the purchase price as $80,000, not $200,000. Tumber was not willing to purchase under those conditions and suggested to Dhillon that he review his own purchase documents for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he reviewed those documents with his bookkeeper, Dhillon learned that his money had been used to buy two lots. He said he questioned Bassi, who told him not to worry because they would be selling the lot shortly. Dhillon said he accepted that explanation because Bassi was his friend.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Lots 15 and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completion date on the Lots 15 and 16 was August 15, 2006, later extended to September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Although Lot 15 was ultimately purchased by Veerpal, the Buckley Hogan file was opened in the name of Avtar's other sister, Navdeep Gill. Veerpal said this was because her husband was opposed to her purchase of the lot. Sutton Group internal documents show Bassi and Avtar as realtors in the transaction, but Veerpal said that she did not know that her brother and Bassi were involved. The purchaser named in the contract was Ratther and there is no written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September 19, 2006, Shangara attended at Buckley Hogan for the completion of his purchase of Lot 16. Bassi's telephone records show that he called Shangara once on that day, six times over the preceding two days and twice on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Shangara brought a bank draft in the amount of $203,000--about $60,000 more than was needed to complete the purchase. By this time, Shangara said he had also had discussions with Bassi about Lots 4 and 5 and he testified that either Avtar or Bassi told him the extra money would be adjusted against the purchase of those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Shangara said he met with a lawyer for about five minutes to sign the necessary documents. He said there was no discussion about the extra $60,000. He does not recall if the purchaser's statement of adjustments was discussed, but said it might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fact, the extra $60,000 was applied to Veerpal's purchase of Lot 15. There is nothing in the Buckley Hogan file indicating who gave instructions to transfer those funds, but Hogan said the firm's standard practice would have required Shangara's instructions or confirmation.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September 20, 2006, the day the funds were transferred, Bassi made two calls, five minutes apart, to Buckley Hogan. Garcia, Bassi's employer, said it would be unusual for a realtor to be dealing with the purchaser's conveyancing solicitor at the time of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$88,000 balance of the purchase price for lot 15 came from Veerpal, who testified that she borrowed the money from her mother and other brother Jaswinder. The money came from an account that Avtar shared with his brother. Veerpal said she understood she was buying a half interest in the lot, but the documents she signed at Buckley Hogan show that she was purchasing the whole of Lot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Pagely's name and signature, witnessed by Bassi, appear on the assignment of Lot 3 from Saini to Pagely dated September 13, 2006. That was the assignment date for all three Mishra Lots and a date on which, according to his phone records, Bassi called Buckley Hogan. Hogan testified the forms look like forms prepared by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September 23, 2006, Taranjit Pagely signed documents, including a purchaser's statement of adjustments showing that the purchase price for Lot 3 was $80,000. The documents were prepared by Buckley Hogan, but they were signed at a home in Williams Lake where Taranjit was staying. No lawyer was present although Taranjit, his father and Kuldip Saini, whose home it was, all say Bassi was present. Taranjit said he signed where Bassi told him to. He and his father both said they didn't read the documents because they trusted Bassi.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Bassi denied being present when the documents were signed, although he agreed he travelled to Williams Lake with Pagely on that day. He said he was going to Williams Lake to visit relatives and understood Pagely was going to get signatures on documents, but denied that he had brought the documents. Phone records show that he called Buckley Hogan two days before the trip to Williams Lake. I find the idea that Bassi happened to have other reasons for visiting Williams Lake on that day to be too much of a coincidence to accept and find that he was present when the documents were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September 26, 2006, Pagely obtained two bank drafts payable to Buckley Hogan in trust. He said Bassi had called him that day to tell him the amount needed to complete the purchase of Lot 3. Bassi denied that, but his phone records show a call to Buckley Hogan followed by one to Pagely three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One of the drafts that Pagely obtained was for $76,535.97--the amount needed to complete the purchase of Lot 3. The second was for $63,405.97, which Buckley Hogan applied to the contemporaneous purchase of Lot 4 by Romana. Pagely said he obtained both drafts at Bassi's request and gave them to Bassi, believing they were both needed for the purchase of Lot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Buckley Hogan revised the purchaser's statement of adjustments for Lot 3 on or about September 26, 2006 to add GST of $4,800, which Buckley Hogan realized should be applied after the documents had been signed. Pagely obtained a draft for $4,800 payable to Buckley Hogan, but said he thought this was a further payment for the lot, along with $5,000 in cash he said he gave Bassi at about the same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Lots 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Shangara said that in late August or early September 2006, Bassi told him that Lots 4 and 5 were available at prices of $210,000 and $200,000 respectively. He understood these were among ten lots, the majority of which would be owned by Bassi, which could be developed jointly or resold for $300,000 each. Shangara said he told his wife's cousin Romana about the lots and Romana agreed to take one of them. Shangara's signature appears on two documents, both dated September 13, 2006, assigning Lots 4 and 5 to him from Saini. Those assignments refer to the true purchase prices of $67,000 for Lot 4 and $80,000 for Lot 5. Shangara recognized his signature on the assignments, but said he did not see them before litigation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some point before the completion, Shangara said Bassi requested $50,000 towards the purchase of the two lots. According to Shangara and Romana, this was paid in cash, which Romana said he had accumulated over the years from the rent on two suites in his house. Romana said he gave the money to Shangara, who said he gave it Bassi. Bassi denied receiving this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Shangara decided to purchase Lot 5 in the name of his daughter, Jaspreet, but she was attending university in Ontario and not available to sign documents. On September 26, 2006, a day on which he received three telephone calls from Bassi, Shangara went to Buckley Hogan with his younger daughter, Inderbeer, who was only 17 at the time. He brought a draft for $76,535.97, which he said was the amount Bassi told him to bring.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Inderbeer produced her sister Jaspreet's driver's licence, and signed her sister's name to a purchaser's statement of adjustments showing a total purchase price of $80,000. Jaspreet testified that there is a considerable physical resemblance between her and her sister. Shangara said he and Inderbeer were in the room with a lawyer for about five minutes and that he did not notice the price indicated on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Romana went separately to Buckley Hogan and signed a statement of adjustments for Lot 4, showing a purchase price of $67,000. Romana said he did not read the document and thought he was buying the lot for $210,000, not all of which had to be paid immediately. He said that the lawyer may have gone over and explained the purchaser's statement of adjustment, but he either did not understand or did not pay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Buckley Hogan applied Pagely's draft for $63,405.97 against Romana's purchase of Lot 4. Nothing in Buckley Hogan's file records instructions from either Pagely or Romana for this. Pagely and Romana say they had no knowledge of it and did not know each other at the time. Bassi's phone records indicate that he called Buckley Hogan three times on September 26 and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Buckley Hogan subsequently revised the purchaser's statement of adjustment for Lots 4 and 5 to include GST. Hogan said the revised statement would typically be mailed to the client, but the client would not be asked to sign the revision.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Shangara said did not become aware of the GST until the evening of completion when Bassi called him and told him that he would have to pay an additional $8,820 for GST, which he understood it was for Lots 4 and 5. The following day Shangara left a cheque for $8,820 at Buckley Hogan's reception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Shangara said that, shortly after completion, he received copies of documents, including the statement of adjustments, in the mail from Buckley Hogan. He noticed that the price for Lot 5 was $80,000 but said that when he questioned Bassi about this, he was told that the vendor wanted the documents to show a low price for tax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POST-COMPLETION PAYMENTS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Payments by Pagely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October 4, 2006, a week after completion of the Lot 3 sale, Pagely obtained an $18,000 draft payable to Bassi and a $22,000 draft payable to Bassi's wife, Jagroop. Pagely said he was told this money was needed for a further payment on Lot 3. Both Bassi and Jagroop said the $22,000 draft was repayment of the loan they say Jagroop had made to Pagely in June 2006. I have already rejected their evidence of that loan because Pagely had no need or reason to borrow money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Bassi said the $18,000 was a loan that he requested from Pagely in order to engage in stock trading without the knowledge of his wife. He said he repaid Pagely two years later on October 15, 2008, with a cheque for $20,000. Pagely said that cheque was partial payment of another loan that he had made to Bassi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Pagely gave Bassi a further $15,000 on November 8, 2006. He said Bassi told him that was the final payment for Lot 3, but Bassi said the two of them had made offers on property in Washington State and the $15,000 was to go toward a deposit if any of the offers were accepted. No Washington property was ever purchased and no deposits were paid. Bassi said he returned some of this money to Pagely in 2008 by endorsing over one of his Sutton Group commission cheques, while further payment came in the form of services assisting Pagely with an insurance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Payments by Shangara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Between October 24, 2006, and May 29, 2007, Shangara provided seven cheques totalling $118,100, which he said Bassi told him were needed for further payments on Lots 4 and 5. The first of these cheques was for $20,000, which he signed with the name of the payee blank. Bassi used the cheque to buy a car, but said the money had nothing to do with this transaction. He said he had acted as construction supervisor when Shangara built a house three years earlier and $8,000 was a payment for that work. The other $12,000, he said, was money owed to him by Dhillon that Shangara was paying on Dhillon's behalf. He said that debt also dated back to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Aside from one small payment of $100, Shangara's next three cheques were written on March 28, 2007. He said he signed all of them with the payee's name left blank and gave them to Bassi.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One of these cheques, for $25,000, was again used to buy a car, this time for Avtar's brother Jaswinder Gill. Avtar admitted at trial to filling in the payee's name on the cheque. A second cheque for $21,000 was ultimately made payable to Nasib Gill ("Nasib"), Avtar and Veerpal's mother. Bassi denied knowledge of either of these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Shangara's third cheque on March 28, 2007, was for $30,000 and was ultimately made out to Dhillon, a fact Shangara said he didn't learn until after this action was commenced. Dhillon said Bassi brought him the cheque and asked him to deposit it, then later got the money back from him. He said he did not know Shangara at the time. Bassi said he was at Shangara's home when Dhillon arrived and Shangara asked him to complete the cheque, writing in the amount in words and the payee's name. After he completed the cheque, Bassi said, Dhillon took it and left. Bassi said he did not know what the payment was for and could not explain why Dhillon and Shangara needed him to fill out part of this cheque when it was already partially filled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May 29, 2007, Shangara signed another cheque that was made payable to Nasib, this time for $7,000. Once again, Shangara said he signed the cheque before the payee's name was written in and Bassi denied any knowledge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Veerpal said the payments to her mother and brother related to an agreement under which Shangara and Romana had agreed to buy out her interest in Lot 15. She said she needed to sell her interest because her husband was unhappy about the purchase and she wanted to use the sale proceeds to repay the loans she had received from her mother and brother. But as of the date of trial, she had not transferred title or any portion of her interest and has continued to pay property taxes on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allege that the money paid to Nasib was used to help fund Avtar's share of a short-term mortgage investment that he made with Bassi and Pagely in May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May 28, 2007, Jagdip Romana, Shangara's brother in law, signed a cheque for $15,000. Shangara said he filled Pagely's name on the cheque and gave it to Bassi because had borrowed money to make a further payment Bassi was requesting for Lots 4 and 5. He said he did not owe Pagely any money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Pagely testified that Bassi brought the cheque to him and asked him to deposit it temporarily into his account. Pagely deposited the cheque then, 11 days later, gave Bassi a cheque in the same amount of $15,000. He said he did not know why Bassi wanted him to deposit the cheque, but did it because Bassi was his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Bassi said the cheque he received from Pagely was for the purpose of investing in property in California. Pagely agreed that he and Bassi were looking at properties, but said he was not aware of any offers and denied the cheque was given towards purchase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Shangara said that he also gave Bassi $8,000 in cash in May,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Payments by Romana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 November 8 and 29, 2006, Romana wrote two cheques totalling $50,000, payable to Nasib. He said he gave these cheques to Shangara, who said he passed them on to Bassi, believing them to payments for Lots 4 and 5. Bassi denied knowledge of these cheques and Veerpal testified they were part of the buyout of her Lot 15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 November 8, 2006, Romana provided a $20,000 cheque and a $30,000 draft, both payable to Pagely. As with the cheques to Nasib, Shangara said he obtained the cheques from Romana and passed them on to Bassi, who had asked for more money toward the purchase of Lots 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evidence about what happened to this money is convoluted, even by the standards of this case. Bassi denied knowledge of the cheque and draft, but Pagely said Bassi brought them to him, asked him to deposit them and then write a $50,000 cheque to his cousin Manjit Baughan ("Baughan"). According to Pagely, Bassi told him he needed to lend the money to his cousin, but was afraid he would not be paid back if he lent it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Bassi and Baughan said Baughan asked for and received a $50,000 loan directly from Pagely. Bassi said he was present at Baughan's office when Pagely gave the cheque to Baughan and said that he wanted to be repaid with interest in cash. Baughan said he signed a note promising to pay $500 a month, half of which was to be interest, but did not make a copy of it. Pagely denied loaning any of his own money to Baughan or receiving any payments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Romana also gave four cheques to Shangara, totalling $46,000 at or shortly after the completion for Lot 4 and said he gave Shangara a further $19,425 in cash over the next two years. Shangara said he included those amounts in the payments he was making from time-to-time to Bassi for Lots 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total, Shangara said he paid $206,030.97 for Lot 5, more than half of which was paid after his daughter signed a statement of adjustments showing a purchase price of only $80,000. Romana said he paid $215,425 for Lot 4, with more than half being paid after he signed a statement of adjustments showing a purchase price of $67,000.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Shangara testified that, sometime in the second half of 2007, he learned about the sewer right of way and its potential impact on the development potential of Lots 4 and 5. He said he first asked Bassi to sell Romana's Lot 4 and Bassi responded by suggesting Shangara try to sell Lots 1 through 10 himself. He said he sought assistance from another realtor, but in approximately mid-2008 told Bassi that the lots had not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Through title searches, Shangara said he identified Dhillon as the owner of Lot 1 and Taranjit as the owner of Lot 3. He said he contacted Dhillon and Pagely and told them both about the right of way. As noted above, Dhillon had, in fact, learned about the right of way shortly after he purchased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Romana, Shangara, Pagely and Dhillon said that in March 2009, they met with Bassi and Avtar and gave them two months to sell the lots. Bassi and Avtar deny that this meeting occurred. A Mr. Sohal, who is said to have arranged the meeting and acted as a "middle man," was not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 writ of summons and statement of claim under the former Rules of Court was filed in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Fraudulent Misrepresentation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purchase price of Lots, 1, 3, 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necessary elements of the tort of civil fraud are set out in </w:t>
      </w:r>
      <w:r>
        <w:rPr>
          <w:rFonts w:ascii="arial" w:eastAsia="arial" w:hAnsi="arial" w:cs="arial"/>
          <w:i/>
          <w:color w:val="000000"/>
          <w:sz w:val="20"/>
          <w:lang w:val="en-US" w:eastAsia="en-US" w:bidi="ar-SA"/>
        </w:rPr>
        <w:t>Bruno Appliance and Furniture, Inc. v. Hryniak</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2014 SCC 8</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representation made by the defendant; (2) some level of knowledge of the falsehood of the representation on the part of the defendant (whether through knowledge or recklessness); (3) the false representation caused the plaintiff to act; and (4) the plaintiff's actions resulted in a loss.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burden is on the plaintiff to prove these elements on a balance of probabilities, "having due regard to the seriousness of the allegations made" </w:t>
      </w:r>
      <w:r>
        <w:rPr>
          <w:rFonts w:ascii="arial" w:eastAsia="arial" w:hAnsi="arial" w:cs="arial"/>
          <w:i/>
          <w:color w:val="000000"/>
          <w:sz w:val="20"/>
          <w:lang w:val="en-US" w:eastAsia="en-US" w:bidi="ar-SA"/>
        </w:rPr>
        <w:t>Wellesley Lake Trophy Lodge Inc. v. BLD Silviculture Ltd.,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2006 BCCA 328</w:t>
        </w:r>
      </w:hyperlink>
      <w:r>
        <w:rPr>
          <w:rFonts w:ascii="arial" w:eastAsia="arial" w:hAnsi="arial" w:cs="arial"/>
          <w:color w:val="000000"/>
          <w:sz w:val="20"/>
          <w:lang w:val="en-US" w:eastAsia="en-US" w:bidi="ar-SA"/>
        </w:rPr>
        <w:t xml:space="preserve"> at para. 10. The court in </w:t>
      </w:r>
      <w:r>
        <w:rPr>
          <w:rFonts w:ascii="arial" w:eastAsia="arial" w:hAnsi="arial" w:cs="arial"/>
          <w:i/>
          <w:color w:val="000000"/>
          <w:sz w:val="20"/>
          <w:lang w:val="en-US" w:eastAsia="en-US" w:bidi="ar-SA"/>
        </w:rPr>
        <w:t>Wellesley</w:t>
      </w:r>
      <w:r>
        <w:rPr>
          <w:rFonts w:ascii="arial" w:eastAsia="arial" w:hAnsi="arial" w:cs="arial"/>
          <w:color w:val="000000"/>
          <w:sz w:val="20"/>
          <w:lang w:val="en-US" w:eastAsia="en-US" w:bidi="ar-SA"/>
        </w:rPr>
        <w:t xml:space="preserve"> referred to the words of Lord Denning in </w:t>
      </w:r>
      <w:r>
        <w:rPr>
          <w:rFonts w:ascii="arial" w:eastAsia="arial" w:hAnsi="arial" w:cs="arial"/>
          <w:i/>
          <w:color w:val="000000"/>
          <w:sz w:val="20"/>
          <w:lang w:val="en-US" w:eastAsia="en-US" w:bidi="ar-SA"/>
        </w:rPr>
        <w:t>Bater v. Bater</w:t>
      </w:r>
      <w:r>
        <w:rPr>
          <w:rFonts w:ascii="arial" w:eastAsia="arial" w:hAnsi="arial" w:cs="arial"/>
          <w:color w:val="000000"/>
          <w:sz w:val="20"/>
          <w:lang w:val="en-US" w:eastAsia="en-US" w:bidi="ar-SA"/>
        </w:rPr>
        <w:t>, [1950] 2 All E.R. 458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civil case] the case may be proved by a preponderance of probability, but there may be degrees of probability within that standard. The degree depends on the subject-matter. A civil court, when considering a charge of fraud, will naturally require a </w:t>
      </w:r>
      <w:r>
        <w:rPr>
          <w:rFonts w:ascii="arial" w:eastAsia="arial" w:hAnsi="arial" w:cs="arial"/>
          <w:i/>
          <w:color w:val="000000"/>
          <w:sz w:val="20"/>
          <w:lang w:val="en-US" w:eastAsia="en-US" w:bidi="ar-SA"/>
        </w:rPr>
        <w:t>higher degree of probability</w:t>
      </w:r>
      <w:r>
        <w:rPr>
          <w:rFonts w:ascii="arial" w:eastAsia="arial" w:hAnsi="arial" w:cs="arial"/>
          <w:color w:val="000000"/>
          <w:sz w:val="20"/>
          <w:lang w:val="en-US" w:eastAsia="en-US" w:bidi="ar-SA"/>
        </w:rPr>
        <w:t xml:space="preserve">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Where fraud is alleged, the evidence must be clear and convincing. In </w:t>
      </w:r>
      <w:r>
        <w:rPr>
          <w:rFonts w:ascii="arial" w:eastAsia="arial" w:hAnsi="arial" w:cs="arial"/>
          <w:i/>
          <w:color w:val="000000"/>
          <w:sz w:val="20"/>
          <w:lang w:val="en-US" w:eastAsia="en-US" w:bidi="ar-SA"/>
        </w:rPr>
        <w:t>Anderson v. British Columbia (Securities Commission)</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2004 BCCA 7</w:t>
        </w:r>
      </w:hyperlink>
      <w:r>
        <w:rPr>
          <w:rFonts w:ascii="arial" w:eastAsia="arial" w:hAnsi="arial" w:cs="arial"/>
          <w:color w:val="000000"/>
          <w:sz w:val="20"/>
          <w:lang w:val="en-US" w:eastAsia="en-US" w:bidi="ar-SA"/>
        </w:rPr>
        <w:t xml:space="preserve"> at para. 29, Mackenzie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Fraud is a very serious allegation which carries a stigma and requires a high standard of proof. While proof in a civil or regulatory case does not have to meet the criminal law standard of proof beyond a reasonable doubt, it does require evidence that is clear and convincing proof of the elements of fraud, including the mental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have made extensive and detailed efforts to trace the flow of money in and out of various bank accounts in order to prove that Bassi and Avtar received money in relation to the alleged fraud. On the other hand, the realtor defendants argue that there is no evidence, or insufficient evidence, that they benefitted from the alleged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Both of these arguments miss the point that while fraud almost always involves some benefit gained by the fraudster, proof of that benefit is not a necessary element of the tort. The court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referred to the classic statement of the House of Lords in </w:t>
      </w:r>
      <w:r>
        <w:rPr>
          <w:rFonts w:ascii="arial" w:eastAsia="arial" w:hAnsi="arial" w:cs="arial"/>
          <w:i/>
          <w:color w:val="000000"/>
          <w:sz w:val="20"/>
          <w:lang w:val="en-US" w:eastAsia="en-US" w:bidi="ar-SA"/>
        </w:rPr>
        <w:t>Derry v. Peek</w:t>
      </w:r>
      <w:r>
        <w:rPr>
          <w:rFonts w:ascii="arial" w:eastAsia="arial" w:hAnsi="arial" w:cs="arial"/>
          <w:color w:val="000000"/>
          <w:sz w:val="20"/>
          <w:lang w:val="en-US" w:eastAsia="en-US" w:bidi="ar-SA"/>
        </w:rPr>
        <w:t xml:space="preserve"> (1889), 14 App. Cas. 337 at 374 that: "...if fraud be proved, the motive of the person guilty of it is immaterial."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key misrepresentations alleged by the plaintiffs in relation to Lots 1, 3, 4, and 5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Bassi represented to Dhillon that the price for Lot 1 was $200,000, when the real price was $88,000.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Bassi represented to Pagely, and through him to Taranjit, that the price for Lot 3 was $200,000, when the real price was $80,000.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Bassi represented to Shangara, and through him to Romana, that the price for Lot 4 was $210,000, when the real price was $67,000.</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Bassi represented to Shangara, and through him to Jaspreet, that the price of Lot 5 was $210,000, when the real price was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There can be no doubt that, if these representations were made, they were false and Bassi knew they were false. The real purchase prices were clearly stated on contracts that Bassi drafted. The question is whether the plaintiffs have proved that the representations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is also no doubt that, on or after the completion of their purchases, the plaintiffs advanced money in excess of the true purchase prices and at least some of that money found its way to one or other of the defendants or their family members. Leaving aside for the moment the credibility issues surrounding the alleged cash payments, the plaintiffs have produced cheques and bank drafts indicating substantial excess payments. What the plaintiffs must prove is that those funds were advanced in reliance on the alleged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only direct of evidence of these representations--what Bassi said, when and to whom--comes from the plaintiffs. There is no supporting documentation or evidence from independent witnesses who may have heard the statements. If the plaintiffs' evidence is to be accepted, that acceptance must be based in part on inferences drawn from the surrounding circumstances and on an assessment of the plaintiffs' general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On the plaintiffs' own evidence, they acted foolishly and failed to take reasonable steps to protect their own interests. They said they did not bother to read the documents they or their children were signing and paid no attention to anything the conveyancing solicitors might have told them about the documents. But foolish or improvident behaviour by the victim is crucial to the success of many fraudulent schemes.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 defence to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One potentially important circumstance is that this case does not involve a single transaction. The plaintiffs entered their respective transactions separately and at different times, but give relatively consistent evidence about the content of the alleged representations. That consistency is capable of supporting the plaintiffs' case, provided there are no other issues that raise doubts about their credibility. If their credibility is in doubt, the consistency of their evidence may just as easily be the result of collusion.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To a large extent, the plaintiffs rely on the defendants' failure to provide credible or consistent evidence about various events or reasonable explanations for the money they received. There are certainly a number of points on which I have already rejected evidence of the defendants, primarily Bassi.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have found that Bassi, contrary to his own evidence, initiated the plan to tie up lots near the Khalsa School site, using Ratther and Saini as nominal buyers with the intention of arranging for the purchase and sale contracts to be assigned after the school obtained the necessary rezoning. That in itself does not amount to fraud. In fact, there was nothing to stop Bassi from entering into those contracts in his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Bassi intended or hoped that the ultimate buyers who took assignments would pay substantially more than the purchase price, that premium could have been openly incorporated into price of the assignments. The difference could have been explained as the increased value attributable to the Khalsa School rezoning having been approved. If the plaintiffs' trust in Bassi was as complete as they say it was, they would have been just as likely to accept that explanation. The fact that the same end could have been accomplished so much more simply weighs against the alleged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have also rejected Bassi's explanation of the $30,000 given to Pagely at the same time Pagely provided an equal amount for the deposit on the Intercapital Lots that was paid in the name of Ratther. The suggestion that this was a coincidental loan to Pagely is refuted by the fact Pagely had no need to borrow money at the time. If there was no loan to Pagely, there is no other explanation for the $22,000 Pagely paid to Jagroop Bassi a week after the completion of the purchase of Lot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Other portions of Bassi's evidence that I find difficult to accept include: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suggestion that the $15,000 Pagely gave him shortly after the completion of the Lot 3 purchase was for possible offers on Washington State property. No such offers were ever made and there is no clear documentary evidence of Pagely getting the money back. The transactions that Bassi claims to have amounted to repayment occurred two years later.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that $20,000 Shangara paid him only a month after the completion on Lots 4 and 5 was for unrelated debts dating back to 2003, including a debt that was owed not by Shangara but by Dhillon.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assertion that Pagely loaned $50,000 to Baughan on terms that would have extended repayment over more than 16 years, with nothing to document the existence of the loan.</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Bassi's assertion that he did not know that $200,000 was used from his wife's mortgage line of credit to pay for Lots 9 &amp; 10 until "much later."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Bassi's evidence that Shangara and Dhillon asked him to fill in the payee on a cheque even though other items on the cheque were completed.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Bassi's evidence that there was a verbal assignment between Saini and Dhillon for the Mishra Lots when there was also an assignment in writing between Saini and Pagely.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general, I agree that the defendants' attempt to link payments to other transactions requires belief in an improbable series of co-incidences, although the evidence does at least demonstrate that there were other financial dealings involving Bassi and/or Avtar with Pagely, Shangara and Dhillon, including some dealings after the transactions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plaintiff's also point to numerous instances in which Bassi and Avtar gave evidence at trial that contradicted their evidence at discovery. These include Avtar agreeing that he witnessed some signatures and forwarded some documents to Buckley Hogan, when he had said on discovery that he had no direct involvement in the transactions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defendants' credibility, or lack of it, is an important factor, but it cannot be allowed to obscure the burden of proof. The plaintiffs must prove the alleged representations and their own reliance on them. They cannot prove those facts simply by showing the defendants lack credibility because there is no burden on the defendants to disprove the allegations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realtor defendants rely on the fact that for each of Lots 1, 3, 4 and 5 one of the plaintiffs signed documents that are inconsistent with the alleged representations having been made or that clearly showed the representations to be untrue if they had been made. Dhillon, Pagely and Shangara all signed the assignment documents that showed the true purchase price. Dhillon and Romana signed statements of adjustments and property transfer tax return forms that referred to the true prices of their lots. Shangara was present when his daughter, Inderbeer, signed her sister's name to similar documents and Pagely was present when his son Taranjit signed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Although the principal plaintiffs were not highly sophisticated investors, they all had experience buying and selling real estate. By 2006, Dhillon had owned six properties since coming to Canada in 1992, including his current residence. He was also a partner in the business that, in 2006, bought three lots with the intention of building houses and selling them, although he said his partner handled all the real estate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Pagely had bought and sold at least five properties, as well as buying his current residence. On at least one occasion, he sold property without the assistance of a realtor. Shangara had been involved in at least ten real estate transactions over the years, including the purchase of lots for the purpose of building and resale, and also had experience acting without a realtor. Romana had owned three houses, two of them jointly with Shangara, and a commercial property with another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accept that Shangara, Dhillon and Pagely all trusted Bassi and that Romana was prepared to trust him based on Shangara's recommendation. The number of telephone calls from Bassi to plaintiffs and to Buckley Hogan on and around the completion dates is also consistent with Bassi giving advice or providing information about the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also accept that Shangara, Dhillon, Pagely and Romana had limited ability to read and understand English. In those circumstances it is possible they paid less attention to the documents and relied more on any explanation of the transactions they previously received from a trusted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Language difficulties may have also affected the value of any explanations or information received from the conveyancing lawyer. Mr. Hogan testified that, as a matter of standard practice, he would assess the clients understanding of English and, if necessary, obtain the assistance of a Punjabi speaking employee. But there is no specific evidence of that assessment being made or translation assistance being provided in these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cannot simply assume that Buckley Hogan's standard practice was followed because there are too many other instances when it clearly was not. For example, Romana and his wife, Gurdeep, purchased Lot 4 as joint tenants, although only one of them signed the completion documents and Buckley Hogan had received no assignment in favour of either. Lot 15 was purchased by Veerpal although there was no evidence on file that Ratther had assigned the contract to her. Most glaringly, Taranjit was allowed to sign the completion documents for Lot 3 with no lawyer present and without having ever met a lawyer to review those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However, the evidence is clear that Dhillon, Shangara and Romana each met with Mr. Hogan or another lawyer in the firm when their respective transactions completed. While it is possible that the purchasers didn't fully understand or didn't fully pay attention to what was being said, their evidence goes further than that and describes their meetings with the solicitor as extremely short and perfunctory.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Dhillon said Hogan put the purchase documents on the table, asked him for identification and asked if he knew he had purchased a lot. He said Hogan then told him the documents pertained to the lot that he was purchasing, after which he and Ratther started signing them with no further discussion. Shangara said his and Inderbeer's meeting with a male lawyer to sign documents lasted only about five minutes and Romana described his meeting as being of a similar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Hogan said that simply asking for signatures without explaining the documents "absolutely would not happen." Although there are numerous shortcomings in the conveyance files that indicate certain standard practices were not followed, the plaintiffs' evidence amounts to an allegation that Buckley Hogan was consistently and repeatedly negligent in performing the most basic function of a conveyancing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cannot ignore the fact that Buckley Hogan was in the best position to protect the plaintiffs from the alleged fraud and had a duty to do so, yet the plaintiffs have chosen not to sue Buckley Hogan, leaving the firm unable to fully defend itself against that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also cannot ignore the question of why someone in the position of Bassi and/or Avtar would risk embarking on a fraudulent scheme that was so dependent for its success on the conveyancing solicitors failing, in every case, to draw the plaintiffs' attention to the purchase price and on the assumption that not a single plaintiff would see the price on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Whatever language difficulties the plaintiffs may have had and whatever shortcomings there may have been in the explanations they received, I return to their previous real estate experience. I find it unlikely that all of them failed to even look at the numbers set out in the documents they were signing or failed to notice that the number most important to them--the purchase price allegedly stated by Bassi--was nowhere to be seen on those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credibility of the plaintiffs Dhillon, Shangara and Romana is further weakened by their assertion that the alleged excess payments included a total of $93,000 in cash, for which they have produced no reliable supporting evidence, other than to speculate on the source of various deposits into Bassi's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have particular difficulty with Romana's evidence that he made a payment of $50,000 in cash, using money that he kept in a closet in his home. He said the cash represented accumulated rent from the suites in his house but, on his evidence of the monthly rent he received, it would have taken him approximately four years to collect this money, assuming none was ever spent or deposited in a bank. The amount of the allegedly accumulated cash was more than what he said was his and his wife's combined annual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Dhillon said he provided $30,000 in cash to Bassi as a deposit on Lot 1. His evidence as to the source of this money was inconsistent. In examination in chief, he said most of it came from his painting business and was kept in a safe. On cross-examination, he adopted discovery evidence to the effect that it had all been collected from three or four different relatives.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More significantly, Dhillon gave evidence that shortly after the purchase of Lot 1 he learned the true details of the transaction after reviewing it with his bookkeeper. He said he was not concerned after learning he had bought a lot for Ratther because Bassi assured him he could still sell his lot at a profit. That does not explain how he could have failed to also realize that $30,000 in cash had not been accounted for or applied to the purchase, yet there is no evidence of him asking about it or demanding it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Dhillon's evidence about the re-assurance he received from Bassi after learning what he had really bought affects his credibility in another way. If his evidence is to be believed, he learned that crucial facts about the transaction had been withheld from him. One would expect that revelation to weaken his blind trust in Bassi, but he said he accepted Bassi's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same concern arises from the evidence of Shangara, who said he learned the true purchase price of Lot 5 when he received copies of the closing documents in the mail. He said the fact that he had not previously been told the true price not only did not cause him to question his trust in Bassi, but did not prevent him from continuing to hand money over to Bassi with no questions asked. That evidence is particularly troubling in light of the explanation Bassi supposedly gave him--that the vendor wanted to hide the true purchase price for tax reasons. I do not believe that Shangara would so willingly or easily accept that fact that his trusted friend was making him a party to the vendor's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relation to Lot 3, Pagely said that at Bassi's request he obtained two drafts, one for $76,535.97 and the other for $63,405.97, and believed both were for the purchase of Lot 3. He said he was unaware that one of his drafts was used for the purchase of Lot 4. But the two drafts are sequentially numbered, with same date, drawn on the same bank and apparently the same account, and both payable to Buckley Hogan in trust. It is difficult to believe that Pagely would not have at least asked why two drafts were necessary if the law firm to which they were being given was applying them to the same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Pagely also admitted that he received copies of the closing documents for Lot 3 sometime in October 2006 and understood that the purchase had completed. He had enough experience to know that meant the lot had been paid for and to question why Bassi was asking for more money. Even if he accepted without question Bassi's statements that further payments were owed, it is not reasonable to believe he failed to at least look at the closing documents in order to reconcile the amount of these further payments with the total purchase price and the amounts previously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return to the need for clear and convincing evidence to support an allegation of fraud. The plaintiffs' evidence of the alleged verbal representations is not sufficiently credible or reliable to be accepted on its own as clear and convincing. The evidence of surrounding circumstances is often ambiguous and not sufficient to overcome that basic credibility problem. Some of the defendants' conduct and evidence arouses suspicion, but as said above, the case is one for the plaintiffs to prove, not for the defendants to disprove. Where the evidence of all parties is unconvincing in significant ways, the consequences must fall on those who bear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am therefore not satisfied on a balance of probabilities that the alleged misrepresentations about the purchase prices of Lots 1, 3, 4 and 5 were made by the defendants or relied upon by the plaintiffs.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Lot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plaintiffs' allegations in respect of Lot 16 are different from the others. There is no suggestion that the purchase price of $137,500 was misrepresented. The allegation is that Shangara was induced to pay $60,000 in excess of that price by a representation that the additional money would be applied to Lots 4 and 5 when in fact it went to subsidize Veerpal's purchase of Lot 15. Any such misrepresentation would result in a loss to Shangara only if Buckley Hogan in fact transferred the funds to Veerpal's file without his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 is no allegation that Veerpal made any representations to Shangara. The claim against her is essentially one of unjust enrichment. Not only was Shangara's money applied to her purchase, but the balance of the purchase price that she borrowed from her mother and brother was, on her evidence, later repaid with money from Shangara and Romana.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As with the other defendants, Veerpal's evidence is unconvincing on a number of points. She said she thought she was buying a half interest in Lot 15 for $88,000 although the documents she signed clearly showed it was a full interest and that a half interest would have cost only $68,000. She or members of her family received amounts in excess of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She still holds title to the lot although she said she regards it as Shangara's and Romana's property and is willing to transfer title to them. But she gave no clear explanation as to why she has continued to pay property taxes for seven years on a lot she said she doesn't own, while, on her evidence, her and her husband have limited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But the frailties in Veerpal's attempts to explain the transaction do little to assist Shangara in proving the crucial fact he must prove--that $60,000 was transferred for the benefit of Veerpal without his knowledge or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further amended statement of claim alleges that Bassi and/or Avtar "applied, or gave instructions to apply" the additional money to the purchase of Lot 15. Clearly, neither Bassi nor Avtar directly applied the funds to anything. The money was paid into Buckley Hogan's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There is no evidence that either Bassi or Avtar gave instructions to Buckley Hogan to transfer the money, nor evidence of any basis on which Buckley Hogan could have accepted such instructions in the absence of Shangara's confirmation of them. The plaintiffs ask the court to infer Bassi and Avtar must have given those instructions because Shangara said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only evidence that Shangara gave those instructions is Mr. Hogan's evidence that, as a matter of general practice, such instructions had to come from or be confirmed by the client. Aside from general practice, the need for the client's instructions before transferring trust funds goes to the fundamental duty of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various errors elsewhere in the relevant files, which Mr. Hogan conceded were contrary to the firm's practice, do not prove misappropriation of trust funds--the most serious breach of duty that a solicitor can commit short of outright theft of the client's money. Here the plaintiffs are implying that Buckley Hogan was not only grossly negligent, but perhaps an active participant in the alleged fraud. Once again, the firm is not a party and has been given no opportunity to defend itself against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suspicion and speculation put forward by the plaintiff falls far short of the clear and convincing evidence of fraud. I therefore find that Shangara has failed to prove that he was unaware of his additional $60,000 being applied to Veerpal's purchase of Lot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However, it is clear that the funds that were applied to Lot 15 from Shangara's trust account combined with cheques paid to or to the benefit of Veerpal's family total $163,000--more than the purchase price of Lot 15. On Veerpal's own evidence, she can have no beneficial interest in the property. The evidence would support a declaration that Veerpal holds Lot 15 in trust for Shangara or for Shangara and Romana together, but I will not make that declaration because I do not understand the plaintiffs to have asked for it. They are at liberty to speak to that matter if they wish.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Other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plaintiffs also claim fraudulent or negligent misrepresentation as to the development and resale value of the lots. Those alleged representations are:</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Lots 1, 3, 4 and 5 could each be resold for more than $300,000.</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those lots were suitable for commercial or residential development.</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Lot 16 was an excellent prospect for future development and was worth between $270,000 and 280,000.</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all of those lots would increase in value because the development of the Khalsa School would increase the value of all the surrounding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plaintiffs also allege that a failure to disclose the existence of the right of way constituted a misrepresentation by silence.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test for negligent misrepresentation is set out by the Supreme Court of Canada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representation in question must be untrue, inaccurate or misleading;</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Whether alleged to be fraudulent or negligent, a representation must normally be one of existing or past fact: </w:t>
      </w:r>
      <w:r>
        <w:rPr>
          <w:rFonts w:ascii="arial" w:eastAsia="arial" w:hAnsi="arial" w:cs="arial"/>
          <w:i/>
          <w:color w:val="000000"/>
          <w:sz w:val="20"/>
          <w:lang w:val="en-US" w:eastAsia="en-US" w:bidi="ar-SA"/>
        </w:rPr>
        <w:t>PD Management Ltd. v. Chemposite Inc</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2006 BCCA 489</w:t>
        </w:r>
      </w:hyperlink>
      <w:r>
        <w:rPr>
          <w:rFonts w:ascii="arial" w:eastAsia="arial" w:hAnsi="arial" w:cs="arial"/>
          <w:color w:val="000000"/>
          <w:sz w:val="20"/>
          <w:lang w:val="en-US" w:eastAsia="en-US" w:bidi="ar-SA"/>
        </w:rPr>
        <w:t xml:space="preserve"> at paras. 14-15. Promises or opinions about future events are normally not actionable, but may be if the person making a prediction about matters, such as future profitability or future value, has special skill or knowledge. Lord Denning's words in </w:t>
      </w:r>
      <w:r>
        <w:rPr>
          <w:rFonts w:ascii="arial" w:eastAsia="arial" w:hAnsi="arial" w:cs="arial"/>
          <w:i/>
          <w:color w:val="000000"/>
          <w:sz w:val="20"/>
          <w:lang w:val="en-US" w:eastAsia="en-US" w:bidi="ar-SA"/>
        </w:rPr>
        <w:t>Esso Petroleum v. Mardon</w:t>
      </w:r>
      <w:r>
        <w:rPr>
          <w:rFonts w:ascii="arial" w:eastAsia="arial" w:hAnsi="arial" w:cs="arial"/>
          <w:color w:val="000000"/>
          <w:sz w:val="20"/>
          <w:lang w:val="en-US" w:eastAsia="en-US" w:bidi="ar-SA"/>
        </w:rPr>
        <w:t xml:space="preserve">, [1976] 2 All E.R. 5 (C.A.) at 16 are referenced by the Court of Appeal in </w:t>
      </w:r>
      <w:r>
        <w:rPr>
          <w:rFonts w:ascii="arial" w:eastAsia="arial" w:hAnsi="arial" w:cs="arial"/>
          <w:i/>
          <w:color w:val="000000"/>
          <w:sz w:val="20"/>
          <w:lang w:val="en-US" w:eastAsia="en-US" w:bidi="ar-SA"/>
        </w:rPr>
        <w:t>PD Management</w:t>
      </w:r>
      <w:r>
        <w:rPr>
          <w:rFonts w:ascii="arial" w:eastAsia="arial" w:hAnsi="arial" w:cs="arial"/>
          <w:color w:val="000000"/>
          <w:sz w:val="20"/>
          <w:lang w:val="en-US" w:eastAsia="en-US" w:bidi="ar-SA"/>
        </w:rPr>
        <w:t xml:space="preserve"> and cited in </w:t>
      </w:r>
      <w:r>
        <w:rPr>
          <w:rFonts w:ascii="arial" w:eastAsia="arial" w:hAnsi="arial" w:cs="arial"/>
          <w:i/>
          <w:color w:val="000000"/>
          <w:sz w:val="20"/>
          <w:lang w:val="en-US" w:eastAsia="en-US" w:bidi="ar-SA"/>
        </w:rPr>
        <w:t>Hayes v. Schimpf</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BCCA 568</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seems to me that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 [1963] 2 All E.R. 575, [1964 AC 465]] properly understood, covers this particular proposition: if a man, who has or professes to have special knowledge or skill, makes a representation by virtue thereof to another - be it advice, information or opinion - with the intention of inducing him to enter into a contract with him, he is under a duty to use reasonable care to see that the representation is correct, and that the advice, information or opinion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Motkoski Holdings Ltd. v. Yellowhead (County)</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2010 ABCA 72</w:t>
        </w:r>
      </w:hyperlink>
      <w:r>
        <w:rPr>
          <w:rFonts w:ascii="arial" w:eastAsia="arial" w:hAnsi="arial" w:cs="arial"/>
          <w:color w:val="000000"/>
          <w:sz w:val="20"/>
          <w:lang w:val="en-US" w:eastAsia="en-US" w:bidi="ar-SA"/>
        </w:rPr>
        <w:t>, the court says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Sometimes representations are made about the future that depend on the facts as they exist at the time of the representation. If those existing facts are inaccurately and negligently stated, the words may be actionable, as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Sometimes people are retained to give opinions about the future, and if those predictions are negligent (having due regard that perfection in future projections cannot be expected) they may be actionable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As a realtor, Bassi was expected to have knowledge about the real estate market in the area where he worked. When a realtor gives an opinion about the price or value of a property, he or she can expect that to be relied on as a knowledgeable statement based on the market at the time the statement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realtor cannot be expected to predict future prices, but can offer a reliable opinion as to how value may generally be increased or decreased by certain events, such as a school being built across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representation alleged by the plaintiffs was not merely that the value of the property was likely to increase because of the Khalsa School; it was that each lot already had a value in the range of $300,000. If such a representation was made, I would consider it to be a representation of current fact, rather than an opinion about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Whether or not such a representation can be found to be false would normally depend upon expert evidence of what a reasonably competent realtor would have believed at the time. No such evidence was presented in this case, but the difference between the actual purchase price of most of the lots and the value that was allegedly represented is so large that the court may at least be able to draw an inference of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question is whether the plaintiffs have proved on a balance of probabilities that those representations were in fact made. The alleged representation about the resale value is inextricably linked to alleged representation of the purchase price. On the plaintiffs' evidence, they were made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have already found that the plaintiffs have failed to prove the alleged representation of the purchase price, largely due to adverse findings of credibility. In the absence of credible supporting evidence, I cannot find the representations of very high market values to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As for alleged representations of development potential, there is no evidence of what level of knowledge a realtor can be expected to have about what can or cannot be built on specific piece of property beyond basic information about what the zoning permits. There no evidence, for example, that Bassi knew or ought to have known about the soil and other technical building problems identified in the appraisal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alleged non-disclosure of the sewer right of way raises somewhat different issues. Pagely said he was shown a hand-drawn plan of the lots that had no indication of the right of way. A similar plan, or a portion of the same one, appears in the Buckley Hogan file and Shangara said it was shown to him when the completion documents were signed. Dhillon said Bassi showed him a more professional looking plan that shows an unlabeled right of way crossing some lots, but not Lot 1, and does not show the true width of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Based on the nature of the transactions, with properties being acquired through assignments with expectations of a neighboring development, I do find it more likely than not that there was no discussion or disclosure of the right of way when the plaintiffs agreed to take assignment of the affected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realtor defendants rely on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xml:space="preserve"> at paras. 44-48 for the proposition that there can be no liability to a purchaser for failure to disclose patent, as opposed to latent, defects. Patent defects are those the purchaser could have discovered on reasonable inspection or inquiry. The defendants argue that the right of way was such a patent defect because it could have been discovered by a title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 do not need to decide whether the right of way constitutes a patent or a latent defect because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was an action against a vendor, not against a realtor. Nothing said in that case detracts from what I would consider to be a self-evident duty on a realtor to know what he or she is 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Having said that, however, I am not persuaded that knowledge of the right of way would have made any difference to the plaintiffs. It certainly made no difference to Dhillon when he learned about it within weeks of his purchase. The plaintiffs were prepared to buy these lots sight unseen and I conclude the only characteristic of the lots they cared about was their proximity to the Khalsa School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Further the plaintffs' own appraisal evidence showed that actual price paid to vendors was fair market value at the time, even with any problems the right of way may cause. It is common ground that the proper measure of damages is the difference between the price paid and the actual value of the property: </w:t>
      </w:r>
      <w:r>
        <w:rPr>
          <w:rFonts w:ascii="arial" w:eastAsia="arial" w:hAnsi="arial" w:cs="arial"/>
          <w:i/>
          <w:color w:val="000000"/>
          <w:sz w:val="20"/>
          <w:lang w:val="en-US" w:eastAsia="en-US" w:bidi="ar-SA"/>
        </w:rPr>
        <w:t>Sorenson v. Kaye Holdings Ltd.</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(1979), 14 B.C.L.R. 204</w:t>
        </w:r>
      </w:hyperlink>
      <w:r>
        <w:rPr>
          <w:rFonts w:ascii="arial" w:eastAsia="arial" w:hAnsi="arial" w:cs="arial"/>
          <w:color w:val="000000"/>
          <w:sz w:val="20"/>
          <w:lang w:val="en-US" w:eastAsia="en-US" w:bidi="ar-SA"/>
        </w:rPr>
        <w:t xml:space="preserve"> at 216-217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have found that the plaintiffs have failed to prove they were misled about the price. It follows that they must be taken to have acquired the lots for the prices stated in the agreements for purchase and sale and the statements of adjustments. Having found those prices to have been at or near fair market value, I must find that the plaintiffs have failed to show any damage arising from reliance on the alleged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plaintiffs' claims, whether based on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relating to the alleged additional representations, must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 would add that, even if I had been prepared to find negligent, as opposed to fraudulent misrepresentations, I would have attributed the majority of fault to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in failing to read or obtain an explanation of the documents they were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SUMMARY AND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plaintiffs have failed to prove the alleged misrepresentations and misappropriation of funds on a balance of probabilities. Their claims against the defendants Jagjit Bassi, Avtar Gill and Sutton Group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plaintiffs have proved that the defendants Veerpal Dhillon and Garrett Rather were unjustly enriched by receiving and retaining property that the plaintiffs paid for. I did not understand the plaintiffs to be seeking a declaration that those properties are held in trust or any orders flowing from such a declaration, but the plaintiffs have liberty to speak to such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requested by the realtor defendants, I will hear further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Hancott v. Barnes, [2015] B.C.J. No. 1612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10-13 and March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M123896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1612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1308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Daren Hancott, Plaintiff, and Erin Barnes,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9" w:name="Keywords_10"/>
      <w:bookmarkEnd w:id="69"/>
      <w:r>
        <w:rPr>
          <w:rFonts w:ascii="arial" w:eastAsia="arial" w:hAnsi="arial" w:cs="arial"/>
          <w:b/>
          <w:color w:val="000000"/>
          <w:sz w:val="20"/>
          <w:lang w:val="en-US" w:eastAsia="en-US" w:bidi="ar-SA"/>
        </w:rPr>
        <w:t>Damages — Physical and psychological injuries — Physical injuries — Body injuries — Soft tissue — Action by Hancott for damages for personal injuries sustained in a motor vehicle accident allowed in part — Hancott was a passenger in a vehicle struck from behind by the defendant Barnes, who admitted liability — The accident caused soft tissue injuries in Hancott's neck, shoulder and back — By July 2014 Hancott's pain was reduced to the point that he was enjoying an active lifestyle — Hancott failed to establish that his injuries caused him to suffer past wage loss or a loss of earning capacity — He was awarded some special damages and $68,000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Special damages — Non-pecuniary loss — Action by Hancott for damages for personal injuries sustained in a motor vehicle accident allowed in part — Hancott was a passenger in a vehicle struck from behind by the defendant Barnes, who admitted liability — The accident caused soft tissue injuries in Hancott's neck, shoulder and back — By July 2014 Hancott's pain was reduced to the point that he was enjoying an active lifestyle — Hancott failed to establish that his injuries caused him to suffer past wage loss or a loss of earning capacity — He was awarded some special damages and $68,000 in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0" w:name="Case Summary_9"/>
            <w:bookmarkEnd w:id="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Hancott for damages for personal injuries sustained in a motor vehicle accident. Hancott was a passenger in a vehicle stopped at a light when it was struck from behind by the defendant Barnes, who admitted liability. 48-year-old Hancott alleged that the accident caused him to suffer soft tissue injuries as well as headaches, nausea and dizziness. He was seeking non-pecuniary damages, damages for past and future wage loss, the cost of future care and special damages. Barnes took the position that the injuries suffered by Hancott were not as severe or as long-lasting as he claimed. Barnes further submitted that there should be no award for past wage loss or loss of earning capacity.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1" w:name="Holdings of Court_6"/>
            <w:bookmarkEnd w:id="7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indicating that Hancott suffered from a concussion as a result of the accident. However, the accident caused soft tissue injuries in his neck, shoulder and back. By July 2014, if not earlier, the pain Hancott continued to experience was reduced to the point that he was enjoying an active lifestyle. Hancott failed to establish that his injuries caused him to suffer past wage loss or a loss of earning capacity. He was awarded some special damages and $68,000 in non-pecuniary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2" w:name="Counsel_10"/>
      <w:bookmarkEnd w:id="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Renaud, V.S. Ghankas.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 Kushneryk.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3" w:name="Judgment_10"/>
      <w:bookmarkEnd w:id="73"/>
      <w:r>
        <w:pict>
          <v:line id="_x0000_s1080" style="position:absolute;z-index:2517719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4" w:name="M.L. FLEMING J."/>
            <w:bookmarkEnd w:id="74"/>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Daren Hancott seeks damages for injuries suffered in a motor vehicle accident. The accident occurred on July 27, 2010 in Burnaby, BC while the plaintiff was on his way to work. His wife was driving him to a sky train station. They were stopped at a light when struck from behind by the defendant who admits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the accident caused him to suffer soft tissue injuries to his neck, upper and mid back, his left knee and left jaw, as well as headaches, nausea, and dizziness. He seeks non-pecuniary damages, damages for past and future wage loss or loss of capacity, the cost of future of care and special damages. The defendant submits the injuries suffered by the plaintiff were not as severe or as long lasting as he claims and takes position there should be no award for past wage loss or past and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Throughout the trial both counsel referred to the plaintiff as Dr. Hancott so I will do the same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Circumstances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Hancott is 48 years old. He lives with his wife and two children in Burnaby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was born in Ontario, but grew up in Newfoundland. He completed a bachelor's degree in commerce in 1989, an MBA in 1998, and then a doctorate in organizational management with a leadership speciality at Capella University in Minneapolis.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completing his MBA, Dr. Hancott worked for a division of Maple Leaf Foods as a project and regional manager. He then took a position in BC with the same company as the vice president ("VP") and general manager. Approximately three years later, he joined the University of Phoenix located in Burnaby. Teaching initially, he then became the campus director and completed his doctorate at the same time. He was promoted to VP director and then VP of Canadian operations. According to Dr. Hancott, over time the University became very focused on the US market and a decision was made to pull out of Canada. By then he had been with the University for about 10 years. He negotiated what he described as a good severance package and looked for other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 about 2009, the plaintiff became involved with another private, for profit educational institution called University Canada West ("UCW"), newly acquired by the Emanata Group. He was brought on initially as an advisor to the president of the Emanata Group and the chair of the board. Dr. Hancott had been with UCW for about a year when the accident occurred. He described having three titles at that time: strategic advisor to the board, acting dean of business and management and acting senior academic advisor. In cross-examination he seemed to acknowledge a progression from the position of acting dean to acting senior academic officer after the accident. His job with UCW was demanding both before and after the accident. He estimated working between 50 to 60 hours per week, sometimes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Hancott described his general health as very good. In his 20s he had been a competitive weightlifter, and completed triathlons as well as marathons. In the two years prior to the accident, he said he was active - running two to three times a week, cycling about the same amount, attending the driving range and riding his motorcycle in nice weather. Just before the accident he started playing floor hockey which he said was just for fun, mostly social and not competitive.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acknowledged having a "neck and shoulder issue" before the accident, but said it did not slow him down. In cross-examination, Dr. Hancott confirmed in the year before the accident he attended 19 appointments for chiropractic treatment as well as massage therapy on multiple occasions for right sided neck, shoulder, and thoracic back pain. He indicated that although the chiropractic treatments were not effective, he would likely have continued them for a brief time regardless of the accident. He doubted that he would have continued with massage because there was a change in staff at the clinic and the treatments had not been all that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Hancott testified that just before the accident occurred, he was reaching for his briefcase. He said he hit his left knee in the backward motion caused by the impact of the collision. His neck and back hit the back of the seat and the head rest. He described himself as stunned and shocked. There was some damage to their car, but his wife was able to drive away and he proceeded to work by sky 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of the defendant is that shortly before the accident, she was stopped directly behind a car waiting at the red light. She was planning to turn right onto Lougheed Highway. Ms. Barnes testified as the car ahead of her inched forward, so did she. She failed to notice when the car stopped again and rolled into it at a very low speed. At that point the defendant panicked, hit the accelerator instead of the brake, and so a second impact occurred which she said was slightly larger than the first. In cross-examination she agreed the damage to her car was quite significant, costing about $6,000 to repair. She also acknowledged the accident "irritated" a previous injury she had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 Complaints, Treatment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Hancott testified that after the accident, he carried on with his day because he was scheduled to attend meetings in Victoria and had a flight to catch. He described becoming lightheaded and nauseous, but he was determined to make it through the meetings. He left a little early and went to a medical clinic that evening. The plaintiff estimated that he took four or five days off from work and then went back in what he said was a somewhat reduced capacity, although he did not specify the reduction and his other evidence was that he continued to work very long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described himself as in constant pain, unfocused, very frustrated, nauseous, dizzy and struggling to concentrate or sit for any length of time after his return to work. He continued to commute by public transit although he found the trips awful - really crowded, there was no place to sit, and the movement made him very nauseous. He testified it took hours to recover. He said he vomited at work on three or four occasions. He also gave evidence that his symptoms from early on included headaches sometimes in the back of his head and sometimes at the front, pain in the back of his neck on the upper right side extending down into the middle of his back, cracking, popping and difficulty chewing with his left jaw, pain in the outer part of his left knee, </w:t>
      </w:r>
      <w:r>
        <w:rPr>
          <w:rFonts w:ascii="arial" w:eastAsia="arial" w:hAnsi="arial" w:cs="arial"/>
          <w:i/>
          <w:color w:val="000000"/>
          <w:sz w:val="20"/>
          <w:lang w:val="en-US" w:eastAsia="en-US" w:bidi="ar-SA"/>
        </w:rPr>
        <w:t>constant</w:t>
      </w:r>
      <w:r>
        <w:rPr>
          <w:rFonts w:ascii="arial" w:eastAsia="arial" w:hAnsi="arial" w:cs="arial"/>
          <w:color w:val="000000"/>
          <w:sz w:val="20"/>
          <w:lang w:val="en-US" w:eastAsia="en-US" w:bidi="ar-SA"/>
        </w:rPr>
        <w:t xml:space="preserve"> nausea and dizziness, an overwhelming urge to throw up and insomnia. The plaintiff testified that people close to him told him he rambled and repeated things when he spoke. He said colleagues mentioned it a couple of times as well as family members but he could not recall a specific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said he had to reduce his physical activities due to pain and dizziness. He hired a gardener to do the yard work, although he acknowledged in cross-examination he received the same help before the accident because of his busy work schedule. He was able to continue performing household chores such as laundry and cooking modifying to some extent how he completed them because of his symptoms. He said he took six to nine months off from floor hockey, did very little running and no biking. Once he returned to floor hockey, he testified to attending inconsistently, due to pain from injections he was receiving to treat his injuries. By the time of trial, he had not been for almost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took a variety of mostly over found counter medications to deal with his symptoms, including Gravol for nausea but none of them were very helpful. His family doctor provided him with a range of therapies including acupuncture and trigger point therapy which provided some relief. He said injections into his jaw helped a 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Hancott said he pressed his family physician for referrals. He described massage therapy and chiropractic treatments ineffective. An MRI was done. He testified to seeing a number of medical specialists including a physiatrist, a psychiatrist, a neurologist and an ear nose and throat specialist (ENT). Dr. Hancott said that none of them was able to provide him with a diagnosis or treatment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fall of 2010 Dr. Hancott participated in a rehabilitation program called Karp. After six to seven sessions he sought funding for more, but heard nothing for 12 to 13 months. In 2012 he returned to the program. After the end of the second set of sessions, he said he noticed his flexibility had improved, his left knee felt better and there was a "slight" reduction in his neck, shoulder and back pain and longer time frames between episodes of pain. His left jaw pain also improved. He testified that he was still dizzy and nauseous. The nausea was worse in the mornings. Dr. Hancott described his dizziness as feeling light headed and seeing black spots. He said his balance was affected but he had not fallen.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completing the Karp program, the plaintiff continued to do many of the exercises he learned there for strengthening and increasing flexibility - between 12 to 14 of them, three or four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the plaintiff acknowledged that in January or February 2013, he developed an anal fistula that caused severe pain and a high fever. He attended the ER screaming in pain, but was sent home and the fistula "exploded" several days later. Since then, he has undergone three surgeries to repair the fistula, one in the spring of 2013; the second in October 2014 and the third in January 2015, each requiring a five to six week recovery period. The plaintiff testified the symptoms of the condition itself included ongoing pain from an open wound, draining and chafing.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Dawan a specialist in physical medicine and rehabilitation treated Dr. Hancott from July 4, 2013 to July 21, 2014. He provided the plaintiff with facet blocks and trigger point injections as well as prolotherapy.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Hancott also received and continues to receive injections for treatment of pain symptoms from Dr. Taylor, a Chinese medicine specialist and or naturopath. The plaintiff was and remains unaware of the contents of the injections provided by Dr. Taylor. He described them as particularly painful and requiring several days' recovery but providing temporary relief. The plaintiff testified he continues to endure them because they seem to be the only thing that is "really working" and he is starting to see "slight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or about 2013, Dr. Hancott travelled to San Francisco to be assessed by a neuropsychologist in the hope of finding some help with the dizziness. He testified the specialist was not able to provide him with a treatment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November 2013, Dr. Hancott underwent an independent medical examination conducted by Dr. Longridge an ear, nose throat specialist ("ENT") or otolaryngologist who specializes in tinnitus, hearing loss and dizziness. Dr. Hancott described Dr. Longridge's report as long and complicated. He said he could not remember seeing a treatment plan. In fact, Dr. Longridge offered the opinion the plaintiff would benefit from vestibular physiotherapy for balance rehabilitation which Dr. Hancott did not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by the time of his examination for discovery in March 2014 his right shoulder complaints were much improved - he said they bothered him once or twice a week, and the pain was mild to moderate. He described his neck pain by then as moderate, sometimes less and sometimes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Hancott also testified his headaches have improved. He described them ambiguously, as always there but coming and going. He said further his problem with low energy was improving slightly. He said little it anything about his experience of back symptoms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Hancott gave evidence that his dizziness, nausea and balance problems persist to today. He said he wakes up nauseous and dizzy, making it very difficult for him to function for several hours. Sometimes he is more dizzy than nauseous or vice versa. According to Dr. Hancott they both vary in intensity, but are constant. As a result, he continues to limit his activities. He does not climb up to high places, he is not riding his bike or motorcycle, or going to the driving range and he does very little driving. In cross-examination he was confronted about testifying at his examination for discovery in March 2014 that his feelings of dizziness and nausea were improving. He asserted they remained moderate and persistent at that point with the nausea improving more than the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Hancott testified that after the accident, he told his boss Dr. Magee Shepherd about the issues he was experiencing. He described her as very understanding and flexible. He said he returned to work when he did and kept on working because his doctor advised him to and because of the volume of work he had to do, as well as his sense of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that he took on the role of acting dean shortly before the accident, reporting to both Dr. Magee Shepherd and the head of the Emanata Group. He was not aware of any complaints about his performance in that role. He was then made acting Senior Academic Officer which required him to hire and train faculty, establish a program advisory council for each degree program, liaise with the Ministry of Education on new program applications, and obtain re-approval of the UCW's programs and curriculum every five years. Dr. Hancott successfully obtained that re-approval. In August 2011 Dr. Hancott became an employee of the UCW, having worked up to that time as an independent contractor. He was offered and accepted the position of Chief Administrative Officer (CAO). In cross examination, he was reluctant to acknowledge this was a promotion, other than "from the outside". He stated his administrative duties did not really change other than he lost an academic department which had been important to him. Dr. Hancott admitted as the CAO he was responsible for developing international target markets of great importance to UCW, but stated another person within the Emanata Group did most of marketing for several months after he assumed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Despite his symptoms, Dr. Hancott said he thought he was managing at work and doing a good job. He continued to work very long hours sometimes as many as 65 hours per week. He was not aware of any concerns about his work performance as CAO.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estimated there were about 200 students attending UCW when he started there and about four or five hundred by the time he left. In cross-examination he indicated he was prepared to accept he was somewhat responsible for the growth in student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spring of 2012 Dr. Magee Shepherd resigned. In late July 2012 he met with the new acting president who raised issues about his performances. Dr. Hancott testified that he was shocked and very surprised. He provided no evidence about what those issues were. He said only that after the meeting he attempted to address them for a couple of weeks and it was acknowledged things were going well. In cross examination he agreed he had expressed feeling undervalued and some dissatisfaction about the structure of his position before being terminated. In particular he told the head of the Emanata Group that he was frustrated with his plans being changed by others in authority, leaving him with no decision having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or about August 2012, Dr. Hancott's employment with UCW was terminated. The plaintiff was told it was because of restructuring and a shortage of work. His record of employment provides the termination was due to the latter. The plaintiff said he did not accept the reasons but took no steps to challenge the decision because he thought he needed some time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few weeks later, however, he began looking for another job. Dr. Hancott testified that he sent his resume to the New York Institute of Technology (Vancouver Campus) (NYIT) and Simon Fraser University (SFU) several times and he made a number of specific applications for administrative positions with the BC Institute of Technology (BCIT) including President, VP and Director. He said he has been short listed but has not received any job offers yet. He specified that most of the applications have been made on-line and when he applies for a job he does not disclose "his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cross-examination Dr. Hancott confirmed that in the winter of 2013 he was hired by Yorkville University to develop an online introduction to business course. After he prepared the course he was hired to teach it by giving online lectures from November 2013 to January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Hancott testified that he continues to seek employment, mostly positions with academic institutions, but provided no more specific evidence. In cross-examination he acknowledged that in the spring of 2014 he was working on a book on the topic of leadership which he had been writing for five or six years. He agreed that between 2011 and 2014 he spent three or four evenings per month and some weekends on the project. In addition the plaintiff had been a member of the board of directors for the Burnaby North-Seymour riding association and has remained involved with some charitable organizations.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2013 Dr. Hancott considered seeking the federal conservative party nomination for the Burnaby North-Seymour riding. Ultimately a veteran city councillor was nominated. In the spring of 2014 he chose to run as a candidate for mayor of Burnaby in the fall civil election as part of the Burnaby First Coalition. He testified he thought there was only a small chance he could win, but he saw it as important to give the voters a democratic choice. He also indicated he was prepared to take on the job of mayor, having worked hard all his life and wanting to be helpful to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evidence was that he struggled with election events during the campaign because of his nausea, dizziness and pain; he worked sporadically and for limited hours - two to three hours per day. He testified that he never put in a long day. He took breaks and would go home and lie down. He said he was part of a team of 15 that knew he was not feeling well, but "not all of my issues". When he went out knocking door to door, he chose flat streets. During the campaign the plaintiff hosted four town hall meetings. He also participated in a televised mayoral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relied upon video recordings of the plaintiff's participation in a town hall meeting on September 30, 2014 and the mayoral debate on or about the third week of October 2014 that were viewed during his cross-examination. The recordings show the plaintiff actively participating in the town hall meeting, speaking articulately and confidently about the party's platform. The plaintiff estimated 30 to 40 people were present. The plaintiff could not recall if he felt dizzy and nauseous during the meeting, but he said he was exhausted after the event and went home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the mayoral debate, the plaintiff said he took various steps to prepare. The debate was moderated. There was no audience but it was televised. Each candidate was called upon to respond to questions followed by an open debate. The plaintiff testified he felt very dizzy and nauseous during the event. He had taken pain medication because he was recovering from surgery and was fighting an infection. He had also taken Tylenol to deal with a headache. He arranged for his wife to drive him. Again the plaintiff presented very well. He gave cogent answers to the questions put to him about a variety of local issues and then actively engaged in free flowing debate with the incumbent mayor. He testified the strength of his performance was due to well-rehearsed answers to anticipated questions on topics for which the party had developed platforms. Dr. Hancott said he was so exhausted by the event he went home to bed where he spent the rest of the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relied upon the evidence of his former supervisor Dr. Verna Magee Shepard and Dr. Sidney Scott, a colleague from UCW.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Sidney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Scott worked at UCW from 2006 to 2013. At the time of the accident she and the plaintiff worked in offices that were side by side and had been colleagues for about 18 months. The location of his office moved after the collision. She testified they saw each other many times a day in a typical week. Dr. Scott described the plaintiff as having no difficulty with his work duties before the accident. In fact she testified that his "political" and interpersonal skills were the best she had ever seen. Afterwards he appeared to be in pain, his mood changed, he could not sit still and had to stand during meetings. She observed him drinking green tea to combat nausea. He became more easily frustrated. Dr. Scott stated that she tried to buffer others from his "negative energy". She described his symptoms as "removing him from excellence", but provided no further details. When asked about the change(s) in his position following the accident, she testified he was no longer responsible for academics where he would have preferred to stay, either not acknowledging or being unaware of his promotion. She had no knowledge of the circumstances involved in his termination.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Verna Magee Shepard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Magee Shepherd worked at UCW from December 2009 to March 2012. She was the interim president at the time of the accident. She testified her office was also located beside Dr. Hancott's. Typically she saw him every day at work. She described him as undergoing a very observable weight loss following the accident and becoming very slight, although the plaintiff's evidence is that his weight actually increased from about 195 to 200 lbs before the accident to 213 lbs afterward. Dr. Magee Shepherd also testified the plaintiff had difficulty concentrating, vertigo and signs of depression without providing any specifics. She commented that he had real trouble in the mornings with nausea and long meetings were difficult for him to endure. He was however for the most part able to complete tasks. She confirmed he continued to work very long hours. Dr. Magee Shepherd struggled to recall with any certainty the plaintiff's job titles and various duties prior to him assuming the position of CAO about a year after the accident. Initially she described Dr. Hancott's job as the CAO as a change in title, but a continuation of much of the work he had already been doing. She ultimately agreed his responsibility for international markets was one that came with being CAO.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Magee Shepherd testified she had not reported any concerns about his ability to perform the role. She confirmed he was able to complete all of the tasks required of him satisfactorily and some of them well both before and after the accident, although it was a struggle for him afterwards. Dr. Magee Shepherd too had no knowledge of the circumstances surrounding the plaintiff's termination, having resigned from the UCW in the spring of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Burnaby First Coalition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relied upon the evidence of Dr. Hancott's former administrative assistant Ms. Glorina Mate and two members of the Burnaby First Coalition, Mr. Benjamin Seebaren and Mr. Bruce Friesen, who testified to their observations of the plaintiff during the civil election campaign.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Benjamin Seebaren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Seebaren, a candidate for city council, was present at regular party meetings as well as the town hall meetings during the campaign. He recalled the plaintiff missing only one meeting toward the end because of surgery. Mr. Seebaren testified to observing the plaintiff having "normal discomfort" after surgery in October 2014 but not before. The plaintiff had no trouble speaking in front of a crowd or any other apparent difficulties.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Bruce Friesen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Friesen gave similar evidence. He was the chair of the Burnaby First Campaign and first met the plaintiff in the fall of 2013 when the plaintiff began to attend bi-weekly meetings. Mr. Friesen was aware the plaintiff was seeking the federal conservative party nomination at the time. He saw Dr. Hancott as a very capable, interesting person. Mr. Friesen described the plaintiff as optimistic about winning the election for mayor, stating the party would not have accepted him as their candidate if he was not going to do everything possible to win. Mr. Friesen's involvement with the party diminished after Dr. Hancott was selected as their candidate to allow him to lead the campaign. He continued to provide the plaintiff with briefings. Mr. Friesen saw no signs of physical problems, although he said he is not all that observant. The plaintiff did not tell him about his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Neither Mr. Friesen nor Mr. Seebaren was aware that Dr. Hancott suffered from nausea or dizziness.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Glorina 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Mate was Dr. Hancott's administrative assistant at UCW from November 2011 until he left about nine months later. She confirmed the plaintiff complained to her of feelings of dizziness and headaches from time to time, but she was not aware of him struggling with work. Ms. Mate described the plaintiff as very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Thomas Buouassisi - 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Buouassisi an ENT specialist, testified as a fact witness. He examined Dr. Hancott on June 3, 2013 in relation to nausea and "motion sickness" at the request of the family doctor. Dr. Buouassisi gave evidence that Dr. Hancott told him his symptoms had worsened in the few months prior. He suggested to the plaintiff's family doctor that vestibular exercises be pursued and a gastrointestinal cause for his complaints be investigated.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Neil Longridge - ENT - Otolaryngologist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Longridge prepared a medical report at the request of the plaintiff dated January 30, 2014 based on an evaluation that occurred November 6, 2013. In setting out his opinion, Dr. Longridge noted the plaintiff's symptoms of dizziness arose subsequent to the accident and while fluctuating in severity had been constant. In his opinion, the accident is the probable cause of the dizziness given its onset post-accident and the absence of any other satisfactory explanation. Based on abnormal results from some of the testing and his examination of the plaintiff, Dr. Longridge concluded Dr. Hancott's balance system has been injured leaving him more vulnerable to vestibular damage from a further injury. He noted that one of the balance tests, the Cervical Vestibular Evoked Myogenic Potentials, found abnormality on both sides from which he concluded "the prognosis" must be guarded. This was not well explained or clarified in his report or his testimony. Otherwise Dr. Longridge's predictive opinion was as follows at p.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experience with dizziness is that if it present for two years, in my opinion, it I likely to be present on a long-term,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suggests in other words the plaintiff's dizziness would likely be present long term. Elsewhere in his report he also writes it is probable the plaintiff will be more likely to have difficulties with balance and unsteadiness as he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Longridge also concluded the plaintiff suffers from visual vestibular mismatch, a form of visually induced dizziness which occurs following trauma. In the plaintiff's case, his dizziness was worse in busy shopping malls or grocery stores which he therefore avoids. He provided no opinion about the potential impact of Dr. Hancott's dizziness on his ability to work. Dr. Longridge's other opinions were that the accident probably caused bilateral tinnitus for the plaintiff that persisted for three to six months and slight hearing loss in the plaintiff's left ear although his hearing remains within the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cross-examination Dr. Longridge confirmed the plaintiff described his dizziness as "a rocking lightheaded black spots like he may pass out feeling and a rocking sensation on the Skytrain", a reasonable explanation in his experience, for a person having problems with the balance system of the inner ear and dizziness. Dr. Longridge explained that trying to convey the internal feeling of dizziness is like verbalizing the "unverbalizable". According to Dr. Longridge the plaintiff completed a questionnaire during the evaluation in which he indicated: "constant good day 50% of the time", which the doctor interpreted as 50% of the time is a good day, then "60 to 65 to 75 - 70 percent of the time it is more intrusive" which he did not interpret and is difficult to understand. Dr. Longridge also testified the plaintiff told him his dizziness is constant but fluctuates in severity. The doctor then suggested the plaintiff's dizziness ranged from mild to substantially incapacitating. He clarified the latter was an inference he was drawing and not something the plaintiff said, nor does that language appear in his report. The questionnaire completed by the plaintiff is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Longridge strongly denied the defendant's suggestion that the plaintiff's anal fistula could explain his symptoms of dizziness.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Pankaj Dhawan - Physical Medicine and Rehabilitation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Dhawan, as set out above is a specialist in rehabilitation medicine who treated the plaintiff from July 2013 to July 2014. In his medical legal report dated August 2, 2014, he noted his initial impressions of Dr. Hancott were that he had suffered soft tissue injuries to the cervical facets and possibly the thoracic spine, and instability of the ligaments could not be ruled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first appointment, the plaintiff had full cervical and thoracic range of motion. He reported pain in the right thoracic area, but it was not tender to touch. He was tender over the right second to fifth cervical facet joints and palpation triggered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Dhawan treated the plaintiff initially with injections into the right second to seventh cervical and first to third trapezoidal facet joints with anesthetic alone and trigger point injections in the right trapezius and rhomboid muscle groups. The plaintiff reported no improvement and Dr. Dhawan proceeded with the same facet block injections and prolotherapy over the interspinous ligaments in the same distribution. This combination of injections was repeated three more times. According to Dr. Dhawan the plaintiff reported the injections helped each time; he was feeling more stable with reduced pain and larger periods between flare ups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After an appointment in November 2013, the plaintiff did not see Dr. Dhawan again until March 2014. At paragraph 24 of his report, he wrote the following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him in follow up on March 10, 2014. He reported improvement. He told me he was doing better than he had been in the past. He told me he had definite improvement with prolotherapy. His neck cracked less and he felt more stable about his neck. He had more injections done locally by the naturopath, Dr. Taylor, which also helped him as well to some extent. He had been exercising regularly and was feeling more positive. He was planning to enter politics and he was excited about that. He was considering either local city or provincial or federal level politics. He was communicating better. He was more of a reflective listener. He had less word-finding difficulties and he felt less clouded in his cognition ... He was still getting some dizziness but he was getting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Dhawan's last appointment with the plaintiff was on July 21, 2014. At paragraph 25 of his report he describes the plaintiff's circumstances at that time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solidified his plan to enter more local, city council level politics. He was slowly improving. He was still having occasional dizziness and nausea. He was still having naturopathic injections by Dr. Taylor which were helping. He was exercising, stretching, watching his posture and living an active lifestyle, hiking regularly. His mood was stable. Dizziness was reduced. He had normal range of motion.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cross-examination, Dr. Dhawan confirmed the plaintiff reported the information about his progress as described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Dhawan's opinion was that by the end of his treatment, the plaintiff was showing good improvement from his soft tissue injuries. Dr. Dhawan expected him to continue to make improvements and to be symptom free in a few months to one year. He did not arrange for any further follow up. His view also was the plaintiff should be able to "continue on" with either his administrative job or enter politics as planned. Dr. Dhawan deferred to Dr. Longridge regarding the prognosis for Dr. Hancott's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cross-examination Dr. Dhawan confirmed the plaintiff told him at the first appointment that he had no past medical or surgical history other than a colonoscopy. Later Dr. Dhawan received records of the plaintiff's chiropractic and massage therapy treatment for pain in the right side of his neck and thoracic area in the year prior to the accident. In cross-examination he said it was possible that the plaintiff's post-accident complaints of pain and discomfort in those same areas could have been a continuation of his pre-accident complaints. He also agreed there was no objective evidence of a soft tissue injury to the plaintiff's cervical faucets or ligamentous instability.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Paul Bishop -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Bishop, is a medical doctor and a professor in the Orthopaedics Department, Spine Division at the University of British Columbia. He completed a PhD in pathology focusing on diseases of the spine and has extensive clinical experience assessing and treating patients with acute and chronic spinal pain. His medical report prepared at the request of the defendant is dated November 10, 2014, the same day he assessed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the time Dr. Hancott complained of symptoms involving his neck, upper back and mid back as well as frequent headaches. He described his headache symptoms as involving an intermittent dull aching pain that was sometimes sharp and pounding. Similarly he described his neck symptoms as a constant dull aching pain that was sometimes sharp in character. He estimated the intensity of his neck, upper back and mid back symptoms in the 30 days prior ranged from five to seven out of ten. He also reported difficulty concentrating, feeling mixed up in his words and being tired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pre-existing problems, Dr. Bishop states Dr. Hancott denied any past history of persisting neck, upper back or mid back symptoms. He reported suffering injuries to those areas in previous accidents from which he had fully recovered prior to this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Bishop found the plaintiff's range of motion in his cervical spine was globally restricted in all planes, but no associated pain or tenderness with either the range of motion testing or palpation. The range of motion in his right shoulder was full and pain free in all planes.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Bishop's report sets out a diagnosis of chronic non-specific neck, upper back and mid back pain without any objective basis. With respect to the cause of the injuries, he wrote: "It is not unreasonable to conclude that the patient suffered soft tissue injuries to his neck, upper and mid back as a result of his involvement in (the Accident)". He then stated that soft tissue injuries of this nature heal within 12 to 16 weeks and therefore do not provide an explanation for the spine related symptoms the plaintiff reported after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Among the medical records Dr. Bishop reviewed was a radiologist's report regarding an MRI scan of Dr. Hancott's cervical spine dated September 21, 2012. He summarized the report as describing mild, multilevel degenerative changes consistent with a longstanding degenerative process and inconsistent with acute post traumatic change. Neither the scan nor the radiologist's report is in evidence. Dr. Bishop's report also reviewed in some detail the report of Dr. Dhawan. In his opinion, there was "absolutely no objective evidence" that any of the plaintiff's symptoms were arising from "cervical facet dysfunction or ligamentous instability". He was also critical of Dr. Dhawan's interim recommendations, namely the continuation of naturopathic injections, as well as his own use of facet block and prolotherapy injections, which Dr. Bishop opined were without proven value and highly inconsistent with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Bishop recommended the plaintiff undergo a nuclear medicine bone scan (SPECT) to rule out the presence of an underlying active inflammatory process involving his spine. He explained that a SPECT is readily available and would clarify whether the degenerative changes in his spine described in the radiologist's report had been rendered symptomatic by the trauma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no evidence the plaintiff underwent a 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Dr. Bishop agreed that pain is a subjective experience.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James Blatchford - Forensic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Blatchford is a forensic accountant retained by the plaintiff to provide a report that assesses his past and future loss of wages and earning capacity. The report is summarized further on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burden is on a plaintiff to prove causation. He must establish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both his injuries and the resulting losses (e.g. non-pecuniary loss or lost wages): "The former is concerned with establishing the existence of liability; the latter with the extent of that liability"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at para. 363).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general test used to determine causation is the "but for" test. Accordingly, Dr. Hancott bears the onus of proving,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his injuries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The test for causation is not to be applied too rigidly and is to be contrasted with the more exacting standard that approaches scientific certainty in the medical context: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172. It is essentially a practical question of fact which can best be answered by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If causation for injuries is established, the defendant is liable for all of the losses that flow from them. Such losses are those which the plaintiff proves on a balance of probabilities would not have occurred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78; and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observe at this stage the medical experts who evaluated Dr. Hancott relied on his descriptions of his history and symptoms to varying degrees in coming to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weight to be given to those experts opinions, to the extent they are based upon his subjective reporting, ultimately turns on the court's assessment of the credibility and reliability of Dr. Hancott's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in any case where there are few objective findings of continuing injury, I must be "exceedingly careful" when I examine Dr. Hancott's evidence: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at 397 and 399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16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at para. 186. They include the firmness of the witness's memory, the ability of the witness to resist the influence of interest in modifying his recollection, whether the witness's evidence harmonizes with independent evidence that has been accepted, whether the witness changes his evidence during direct examination and cross-examination (or between examination for discovery and trial) or is otherwise inconsistent in his recollections. Other factors are whether the witness's evidence seems generally unreasonable, impossible or unlikely, and the witness's demeanour. At bottom, the question is whether the witness's evidence is consistent with the probabilities affecting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starting point in a credibility assessment is to presume truthfulness: </w:t>
      </w:r>
      <w:r>
        <w:rPr>
          <w:rFonts w:ascii="arial" w:eastAsia="arial" w:hAnsi="arial" w:cs="arial"/>
          <w:i/>
          <w:color w:val="000000"/>
          <w:sz w:val="20"/>
          <w:lang w:val="en-US" w:eastAsia="en-US" w:bidi="ar-SA"/>
        </w:rPr>
        <w:t>Van Halteren v. Wilhelm</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[1997] B.C.J. No. 1959</w:t>
        </w:r>
      </w:hyperlink>
      <w:r>
        <w:rPr>
          <w:rFonts w:ascii="arial" w:eastAsia="arial" w:hAnsi="arial" w:cs="arial"/>
          <w:color w:val="000000"/>
          <w:sz w:val="20"/>
          <w:lang w:val="en-US" w:eastAsia="en-US" w:bidi="ar-SA"/>
        </w:rPr>
        <w:t xml:space="preserve">, aff'd </w:t>
      </w:r>
      <w:hyperlink r:id="rId168" w:history="1">
        <w:r>
          <w:rPr>
            <w:rFonts w:ascii="arial" w:eastAsia="arial" w:hAnsi="arial" w:cs="arial"/>
            <w:i/>
            <w:color w:val="0077CC"/>
            <w:sz w:val="20"/>
            <w:u w:val="single"/>
            <w:shd w:val="clear" w:color="auto" w:fill="FFFFFF"/>
            <w:lang w:val="en-US" w:eastAsia="en-US" w:bidi="ar-SA"/>
          </w:rPr>
          <w:t>2000 BCCA 2</w:t>
        </w:r>
      </w:hyperlink>
      <w:r>
        <w:rPr>
          <w:rFonts w:ascii="arial" w:eastAsia="arial" w:hAnsi="arial" w:cs="arial"/>
          <w:color w:val="000000"/>
          <w:sz w:val="20"/>
          <w:lang w:val="en-US" w:eastAsia="en-US" w:bidi="ar-SA"/>
        </w:rPr>
        <w:t>, at para. 207.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challenges the plaintiff's credibility. She takes issue with his failure to testify about important events during direct examination or to discuss them with Dr. Dhawan his treating specialist. Examples of those events include his recent job with Yorkville University and his pre-accident history of treatment for right sided neck shoulder and back pain. She also complains he did not inform his own economic expert Mr. Blatchford about his teaching position with Yorkville University. Accordingly, his report sets out the plaintiff had no income in 2013. The defendant further argues the plaintiff failed to inform Dr. Longridge about the full extent of his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Conversely the plaintiff takes the position he provided credible, reliable evidence without any attempt to exaggerate his symptoms or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agree the plaintiff did not appear to exaggerate during the course of giving evidence. He was calm, polite and restrained throughout his testimony. He seemed believable. Not infrequently, however, his answers lacked detail or were ambiguous, including many of those relating to the nature and extent of his symptoms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occasion during cross-examination, the plaintiff's answers were also somewhat unreasonable, not in tone but in content. He testified, for example, to gaining weight after the accident. He then resisted acknowledging that Dr. Magee Shepherd must have been mistaken when she testified that he had lost a significant amount of weight during that time, his answers becoming almost coy. Another example of this tendency is found in some of his responses to the defendant's questions about his decision to run for mayor of Burnaby: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you recognized that there was a chance that you -- that you could win.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Small, but yes.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recognized that the position of being mayor of Burnaby is a position of high responsibility?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what I can see, no.</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sir, you would agree that the mayor of Burnaby, through the way he or she does his or her job can affect the lives of thousands of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I'd say more council that the mayor, but in some ways, yes.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job of mayor of Burnaby, that's a demanding job that requires the office holder to work long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I'm not sure. I've never been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Although I share the defendant's concern about the plaintiff not discussing his pre-accident treatment for right sided neck, shoulder and back pain with Dr. Dhawan, particularly given his role as a treating specialist, I am more concerned by the inconsistency between the plaintiff's evidence at trial and Dr. Dhawan's account of the improvements he reported in his condition. I identify this concern bearing in mind the comments of Mr. Justice Smith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170"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regarding the difficulties with statements of a plaintiff contained in a clinical record at para 34 and 35. As outlined above, Dr. Dhawan's report provides that in March 2014 the plaintiff advised him about how his condition had improved. Significantly, he reported he was still getting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dizziness but he was getting better. In July 2014, Dr. Dhawan writes the plaintiff was still having </w:t>
      </w:r>
      <w:r>
        <w:rPr>
          <w:rFonts w:ascii="arial" w:eastAsia="arial" w:hAnsi="arial" w:cs="arial"/>
          <w:i/>
          <w:color w:val="000000"/>
          <w:sz w:val="20"/>
          <w:lang w:val="en-US" w:eastAsia="en-US" w:bidi="ar-SA"/>
        </w:rPr>
        <w:t>occasional</w:t>
      </w:r>
      <w:r>
        <w:rPr>
          <w:rFonts w:ascii="arial" w:eastAsia="arial" w:hAnsi="arial" w:cs="arial"/>
          <w:color w:val="000000"/>
          <w:sz w:val="20"/>
          <w:lang w:val="en-US" w:eastAsia="en-US" w:bidi="ar-SA"/>
        </w:rPr>
        <w:t xml:space="preserve"> dizziness and nausea and his dizziness was reduced. At trial, the plaintiff described his symptoms and injuries much more negatively including his dizziness and nausea, both of which he said were constant and made it difficult for him to function for several hours each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Hancott did not suggest that Dr. Dhawan's report inaccurately described what he reported during their appointments. Nor was there any acknowledgment of the inconsistency between the report and his evidence at trial. Instead the plaintiff relies upon Dr. Dhawan's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left to conclude that I must approach the plaintiff's evidence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also submits the evidence of Drs. Magee Shepherd and Scott is not reliable. Given Dr. Magee Shepherd's inaccurate evidence about the plaintiff's "very observable" weight loss, the defendant argues her testimony in general ought not to be believed. She makes much the same submission about Dr. Scott's evidence arising from her testimony about office locations which conflicted with that of the plaintiff's. Accepting the plaintiff's evidence about his weight gain which to some extent was confirmed by Dr. Dhawan, I conclude Dr. Magee Shepherd could not have observed the plaintiff suffering a loss of weight after the accident thus affecting the reliability of her evidence more broadly. I also agree with the defendant's other submission that both witnesses gave rather vague evidence about the negative changes to the plaintiff each observed after the accident. I agree. To the extent their observations were consistent however I find the testimony of Drs. Magee Shepherd and Scott to be reliable but lacking specificity. I am not concerned that either provided anything other than their honest recollections of working with the plaintiff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submits the court should draw an adverse inference because the plaintiff reviewed transcripts of the testimony of Drs. Shepherd, Dhawan and Longridge given by way of video deposition prior to trial, and was present for the testimony of Dr. Scott before giving his own evidence. The defendant relies on </w:t>
      </w:r>
      <w:r>
        <w:rPr>
          <w:rFonts w:ascii="arial" w:eastAsia="arial" w:hAnsi="arial" w:cs="arial"/>
          <w:i/>
          <w:color w:val="000000"/>
          <w:sz w:val="20"/>
          <w:lang w:val="en-US" w:eastAsia="en-US" w:bidi="ar-SA"/>
        </w:rPr>
        <w:t>Ram v. Rai</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BCSC 1718</w:t>
        </w:r>
      </w:hyperlink>
      <w:r>
        <w:rPr>
          <w:rFonts w:ascii="arial" w:eastAsia="arial" w:hAnsi="arial" w:cs="arial"/>
          <w:color w:val="000000"/>
          <w:sz w:val="20"/>
          <w:lang w:val="en-US" w:eastAsia="en-US" w:bidi="ar-SA"/>
        </w:rPr>
        <w:t>, where the plaintiff testified after listening to the evidence of her mother and sister. Madam Justice Holmes said as follows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is free to call her witnesses in the order she and her counsel choose. However, I agree with the defendants that for a plaintiff to testify after hearing other witnesses testify may affect the weight that can be given to the plaintiff's own evidence about matters the earlier witnesses addressed. It may be difficult for the trier of fact to be confident that the plaintiff's account of events is her own, and is not coloured by or adapted to the preceding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Despite the risk the plaintiff here may have adapted his evidence, I am not sufficiently concerned to draw an adverse inference, noting in particular the inconsistencies between the evidence of the plaintiff and that of the witnesses whose testimony he reviewed or heard prior to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defendant also asks that an adverse inference be drawn from the plaintiff's failure to call his wife and other collateral witnesses to testify about his condition after the accident and in particular after he lost his employment in August 2012. In </w:t>
      </w:r>
      <w:r>
        <w:rPr>
          <w:rFonts w:ascii="arial" w:eastAsia="arial" w:hAnsi="arial" w:cs="arial"/>
          <w:i/>
          <w:color w:val="000000"/>
          <w:sz w:val="20"/>
          <w:lang w:val="en-US" w:eastAsia="en-US" w:bidi="ar-SA"/>
        </w:rPr>
        <w:t>McIlvenna v. Viebig</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2012 BCSC 218</w:t>
        </w:r>
      </w:hyperlink>
      <w:r>
        <w:rPr>
          <w:rFonts w:ascii="arial" w:eastAsia="arial" w:hAnsi="arial" w:cs="arial"/>
          <w:color w:val="000000"/>
          <w:sz w:val="20"/>
          <w:lang w:val="en-US" w:eastAsia="en-US" w:bidi="ar-SA"/>
        </w:rPr>
        <w:t>, Mr. Justice Sigurdson summarized the doctrine in part as follows with reference to the Canadian Encyclopedic Digest, CED (West. 4th), vol 26, title 61, at para. 71 (quote from Harvey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the Canadian Encyclopedic Digest, CED (West. 4th), vol 26, title 61, describes when an adverse inference should be drawn and in particular exactly (at ss. 199 - 200) what the inference is that is drawn (at ss. 199-200):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 While the parties to a civil action have complete discretion regarding which witnesses to call, there are dangers in not advancing certain testimony. Where the plaintiff chooses not to tender important witnesses, it may result in a failure to meet the burden of proof. </w:t>
      </w:r>
      <w:r>
        <w:rPr>
          <w:rFonts w:ascii="arial" w:eastAsia="arial" w:hAnsi="arial" w:cs="arial"/>
          <w:color w:val="000000"/>
          <w:sz w:val="20"/>
          <w:u w:val="single"/>
          <w:lang w:val="en-US" w:eastAsia="en-US" w:bidi="ar-SA"/>
        </w:rPr>
        <w:t>In a significant early decision, the Supreme Court of Canada indicated that the failure to call a witness with potentially important evidence to a party's case was grounds for the trier of fact to presume that he evidence would have been adverse in nature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 More recently, the courts have qualified this approach, recognizing that an adverse inference should not arise in every case where a party failed to call a witness with evidence material to its case. Advances in disclosure and exchange of documents between parties mean that both sides now have equal access to information and can call witnesses who might assist them. </w:t>
      </w:r>
      <w:r>
        <w:rPr>
          <w:rFonts w:ascii="arial" w:eastAsia="arial" w:hAnsi="arial" w:cs="arial"/>
          <w:color w:val="000000"/>
          <w:sz w:val="20"/>
          <w:u w:val="single"/>
          <w:lang w:val="en-US" w:eastAsia="en-US" w:bidi="ar-SA"/>
        </w:rPr>
        <w:t>Today the adverse inference is discretionary and should not be drawn unless it is warranted in all the circumstances. In particular, the judge should consider whether: there is a legitimate explanation for failing to call the witness; the witness is within the exclusive control of the party or is equally available to both parties; and the witness has key evidence to provide or is the best person to provide the evidence in question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McIlvenna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Is drawing an adverse inference from the plaintiff's failure to call his wife and other post-employment collateral witnesses warranted in all the circumstances here? I agree with the defendant that the plaintiff's wife was in the best position to provide material evidence about the impact of the plaintiff's injuries on his day to day life, apart from him. The plaintiff provided no explanation for his decision not to call her. With respect to other potential collateral witnesses he complained about the delay that would have been involved in "calling everyone under the sun" and described himself as a private person who prefers to keep things to himself. Throughout the trial the plaintiff was critical, frankly unduly so, of the defendant for what he saw as gratuitous attempts to extend the length of the trial. He urged me to find his evidence credible and reliable based on the "big picture": Why would an always gainfully employed, hardworking person stop working unless significantly injured. I was left with the strong impression that the plaintiff and his counsel simply saw it as unnecessary to rely upon the evidence of collateral witnesses, including the plaintiff's wife, to prove his claim. In these circumstances I am not prepared to infer their evidence would have been adverse to his claim, but it may well be that choosing not to do so, has negatively affected his ability to meet the burden of proof in light of the limits of his own evidence and my assessment of his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Injuries Did the Accident Cause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his amended notice of claim the plaintiff alleged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a number of injuries including some about which there was very little if any evidence. Those injuries include post-concussion syndrome, temporomandibular joint (TMJ) injury, and insomnia which I turn to consider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his evidence the plaintiff said he had problem with word finding or using incorrect language after the accident. He did not complain of any other cognitive symptoms other than brief references to feeling foggy. There is no medical evidence before me that would indicate the plaintiff suffered from a concussion or any cognitive difficulties as a result of the accident. I am aware that Dr. Bishop's report reviews the records and reports of a number of other practitioners, among them a form of report prepared by the plaintiff family doctor which referred to a concussion and slow thinking. In addition Dr. Dhawan comments in March 2014 the plaintiff was having less word finding difficulties and felt less clouded in his cognition. He provides no opinion 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During his testimony, the plaintiff was unable to point to any specific instances in which he struggled with language. He said that it is something the people close to him had commented upon. In cross examination a suggestion was made that the issue may have been commented upon by one of his superiors in a memo from which I can derive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was an articulate witness, who displayed obvious intelligence. He also presented this way during the recorded campaign events in 2014 that are in evidence. To the extent he continues to assert the accident caused him to suffer any injury that impacted his cognitive function, I conclude the plaintiff has not proven he suffered from post-concussion syndrome or any difficulties with speech or language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 respect to a TMJ injury, the plaintiff testified that after the accident his left jaw was cracking and popping and he had difficulty eating and chewing. He said nothing further about jaw symptoms other than by the summer of 2012 his left jaw as well as his left knee were notably improved. He then said, "they were still bothering me but it was less bothersome and more manageable". The only other evidence he gave in relation to his jaw was that he received injections to the area. I note Dr. Bishop's report indicates the plaintiff told him he saw a dentist regarding his complaints of jaw pain but the symptoms were "not a major pain now" and he controls his symptoms by eating soft foods. He did not testify to these circumstances. There is no medical evidence the plaintiff has been diagnosed as suffering a TMJ injury. I accept the accident caused the left jaw symptoms he described in his evidence but conclude any remaining symptoms are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also testified to suffering from insomnia soon after the accident which he described as only sleeping for four or five hours each night on a "pretty constant basis". After that he said little if anything about sleep difficulties. Although Dr. Bishop's report indicates Dr. Hancott reported ongoing sleep difficulties, he did not give this evidence at trial. Based on the evidence, I find that accident caused the plaintiff some loss of sleep.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Right Sided Neck, Shoulder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alleges he suffered and continues to suffer from ongoing right sided neck, shoulder and back pain as a result of the accident. The defendant argues any such symptoms must have been mild because they did not prevent him from working long hours for two years post-accident and he was able to return to floor hockey within less than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points out that Dr. Bishop opined and Dr. Dhawan concurred there is no objective evidence to support his diagnosis that the plaintiff's suffered soft tissue injuries to the cervical facets or the thoracic spine, or ligamentous instability. She also suggests the plaintiff's symptoms may have been affected by degenerative changes to his spine identified in an MRI. In addition, the defendant submits, the accident aggravated the plaintiff's pre-accident right neck, shoulder and back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Both Dr. Bishop and Dr. Dhawan agreed the MRI findings were consistent with a longstanding degenerative process. Dr. Bishop also said they were inconsistent with acute, focal changes following trauma. Absent medical evidence about whether in fact the degenerative changes were made symptomatic by the accident or were likely to or become symptomatic in any event, I am not prepared to reach either conclusion. I will discuss further the significance of the plaintiff's pre-existing right sided neck and back symptoms below in the context of his claim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Bishop does not dispute the accident caused soft tissue injuries to the plaintiff's neck, upper and mid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Given the plaintiff's evidence with respect to the pain he experienced in his neck, shoulder, upper and mid back shortly after the accident, and the opinions of Dr. Dhawan and Dr. Bishop, I find the accident caused soft tissue injuries to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extent and duration of the pain resulting from his soft tissue injuries is more difficult to determine. I am not prepared to conclude they must have been short lived based upon Dr. Bishop's bore assertion that all soft tissue injuries heal within 12 to 16 weeks. I have no trouble accepting that pain arising from such injuries may well continue after physical healing is expected to occur. Again Dr. Bishop's diagnosis was of chronic pain without any objective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testified that by the summer of 2012 there was a slight reduction in his neck, shoulder and back pain and longer time frames between episodes of pain. He did not provide evidence however about how often the episodes of pain occurred or how severe they were. His only other testimony regarding the progression of these symptoms was that his shoulder was much improved by March 2014, meaning he had mild to moderate pain in the area once or twice a week. He described his neck pain by then as "moderate", sometimes less, sometimes more: vague evidence in my view. The plaintiff also testified about the pain he experienced during the mayoral campaign but he did not specify its location, intensity or frequency except to say that it was different from the pain caused by the anal fistula. After October 4, 2014, in addition to any ongoing symptoms arising from his injuries, he also recovering from surgery and fighting an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testified he continues to receive very painful injections to relieve pain symptoms but again he did not specify the location, frequency, or severity of the pain. He asks me to infer from his willingness to undergo such treatment that his complaints of pain are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set out above, by July 2014 Dr. Dhawan regarded the plaintiff's soft tissue injuries as showing good improvement. He expected Dr. Hancott to be symptom free within a few months to one year and did not recommend any further treatment. He had normal range of motion both at the outset and the conclusion of Dr. Dawan's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When the plaintiff was examined by Dr. Bishop about five months later, he complained of much more significant neck, upper back and mid back symptoms. The account he gave as set out in Dr. Bishops report is fair more detailed than his evidence at trial which included a negative, but vague account of his current level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Again, the plaintiff did not suggest that Dr. Dhawan mischaracterized his statements to him about improvements in his condition as set out above, nor did he assert that his neck shoulder and back symptoms worsened after the summer of 2012 or after July 2014. I have considered whether the plaintiff's detailed account of his symptoms to Dr. Bishop likely reflects the thoroughness of his interview as compared to that of Dr. Dawan; however in my view an inconsistency remains between the two accounts; in addition to the inconsistency between what he told Dr. Dhawan and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all of the circumstances, I find the pain and discomfort arising from the soft tissue injuries to the plaintiff's neck, right shoulder and back were not insignificant but never severe enough to prevent him from working very long hours. Those symptoms improved over time and by the Summer 2012 if not before, the pain was less intense and occurred at less frequent intervals. By July 2014 if not earlier the pain he continued to experience was reduced to the point he was enjoying an active lifestyle. I am not able to accept his evidence regarding the pain and discomfort he endured during the 2014 mayoral campaign was as he described. I find that any ongoing pain the plaintiff continues to experience is not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testified that he experienced headaches sometimes in the back of his head and sometimes in the front soon after the accident. Although he described ongoing headaches in some detail to Dr. Bishop, the plaintiff's only other testimony on this point was very vague - although they have improved they are "always there" and "continue to come and go". Accordingly, while I accept the accident caused the plaintiff to some suffer headaches, I am not able to conclude they have been severe, remain frequent, or had a significant impact on his ability to 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Dizziness and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plaintiff's evidence is that dizziness and nausea have been the most enduring and difficult symptoms resulting from the accident. He described feeling nauseous and lightheaded during meetings he attended shortly after the accident. Once he returned to work four or five days later, he specified that he felt constant nausea, dizziness and an overwhelming urge to throw up which he did three or four times at work. He stated his dizziness, nausea and balance problems persist to today. According to the plaintiff, he wakes up nauseous and dizzy, making it difficult for him to function for several hours. Although both vary in intensity, he says both are constant. He testifies he has and continues to rely on Gravol to treat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 makes much of the apparent absence of dizziness complaints in the plaintiff's clinical records until sometime after the accident, but those records are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Although I have concerns about the credibility of the plaintiff, I accept his evidence that he experienced both dizziness and nausea after the accident. He mentioned his dizziness to Ms. Mate. Both Drs. Scott and Magee Shepherd were aware he experienced nausea or dizziness (vertigo) after the accident. Dr. Longridge found Dr. Hancott's description of his dizziness consistent with the reasonable difficulties patients generally have in articulating the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 disputes Dr. Longridge's opinion that the probable cause of the plaintiff's dizziness is the accident, critical of the testing results he relies upon in coming to his opinion. I am not persuaded by those criticisms and conclude Dr. Longridge appropriately interpreted and relied upon the testing results, along with other factors in determining the plaintiff's balance system was injured in the accident, causing dizziness. I also accept his opinion that the accident caused the plaintiff visual vestibular mismatch which made his dizziness worse in some busy places. Finally I accept his opinion that the accident caused the plaintiff's complaints of tinnitus for three to six months after the accident and a slight hearing loss in the left ear, although his hearing remains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more difficult question is determining the extent of the plaintiff's dizziness and nausea. It is not my impression that Dr. Longridge's opinion about the plaintiff's dizziness depends upon that his report that the dizziness was constant and or severe. Common sense dictates that symptoms of constant and significant if not intense dizziness and nausea would have prevented the plaintiff from working as he did for 50 to 60 hours each week and more for two years after the accident. Although Dr. Longridge's report of January 2014 seemed to offer the prognosis that Dr. Hancott's dizziness was likely permanent, a few months later, in March 2014, the plaintiff told Dr. Dhawan he was still experiencing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dizziness but he was getting better. In July 2014 he reported he was still having </w:t>
      </w:r>
      <w:r>
        <w:rPr>
          <w:rFonts w:ascii="arial" w:eastAsia="arial" w:hAnsi="arial" w:cs="arial"/>
          <w:i/>
          <w:color w:val="000000"/>
          <w:sz w:val="20"/>
          <w:lang w:val="en-US" w:eastAsia="en-US" w:bidi="ar-SA"/>
        </w:rPr>
        <w:t>occasional</w:t>
      </w:r>
      <w:r>
        <w:rPr>
          <w:rFonts w:ascii="arial" w:eastAsia="arial" w:hAnsi="arial" w:cs="arial"/>
          <w:color w:val="000000"/>
          <w:sz w:val="20"/>
          <w:lang w:val="en-US" w:eastAsia="en-US" w:bidi="ar-SA"/>
        </w:rPr>
        <w:t xml:space="preserve"> dizziness and nausea but they were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addition to the inconsistency between the plaintiff's evidence at trial and what he reported to Dr. Dhawan regarding these symptoms, the plaintiff's decision not to engage in the vestibular physiotherapy recommended by Dr. Longridge also leads me to conclude his dizziness was no longer significant, constant or unimproved by the time of his report. Dr. Longridge identified vestibular physiotherapy - aimed at increasing tolerance for the condition by habituating a person to symptoms of dizziness - as the only available treatment for dizziness. He described it as helpful to about half of patients. The plaintiff testified that ongoing dizziness and nausea have continued to make it very difficult for him to function. Characterizing himself as almost desperate, he indicated he has gone to great lengths to find an explanation and treatment for his dizziness, including attending a neuropsychologist in California. If his symptoms were and continue to be as he described in his evidence at trial, I am at a loss to understand why he did not participate in vestibular physiotherapy therapy. I say that keeping in mind his bare submissions as to its high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view the only reasonable inference to draw in all of these circumstances is that the plaintiff's dizziness and nausea were never as severe as he described and his dizziness in particular had improved by the time Dr. Longridge made his recommendation or soon thereafter. Consequently, the plaintiff did not regard the vestibular physiotherapy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conclude therefore the accident caused the plaintiff to suffer ongoing, but not severe symptoms of dizziness and nausea that did not prevent him from working more than full time up to August 2012, and were much improved by July 2014 at which point the plaintiff experienced only occasional dizziness and nausea to a modest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essential purpose of damages is to restore as best as possible with a monetary award an injured plaintiff to his original position, that is, the same position 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from paras. 31 - 36.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 fundamental principle in the assessment of damages is that the defendant must take the plaintiff as she finds him. A plaintiff whose pre-existing physical condition makes him more vulnerable to sustaining injury is to be compensated for the entire extent of the injury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no answer for a defendant to say that the plaintiff would have suffered less injury or a different kind of injury or no injury at all if he had been less susceptible or vulnerable. At the same time, the defendant is not required to put the plaintiff in a better position than he would have been in but for the accident and compensate the plaintiff for the effects of a pre-existing condition which the plaintiff would have experienced anyway.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 argues Dr. Hancott failed to mitigate his losses, by not complying with the recommendations of Dr. Buonassisi and Dr. Longridge.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It is well settled that a plaintiff in a personal injury action has a positive duty to act reasonably in mitigating his losses: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However once the plaintiff has proved the defendant's liability for his injuries, to succeed in a mitigation defence, the defendant has to show the plaintiff acted unreasonably and that reasonable conduct would have reduced or eliminated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the Court outlined a subjective/objective mitigation test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by that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Buonassisi, an ENT, testified as a fact witness only. The clinical records he kept regarding the one visit he had with the plaintiff are not in evidence. Although his testimony establishes he recommended to the plaintiff's family doctor that a gastrointestinal cause for his nausea be investigated, there is no medical evidence of the extent to which compliance with the recommendation would have reduced the plaintiff's loss. Accordingly this aspect of the mitigation defence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Turning to the plaintiff's failure to comply with Dr. Longridge's recommendation that he undergo vestibular physiotherapy, the relevant evidence is summarized above. In submissions the plaintiff argued vestibular physiotherapy is expensive and after two years it is not that effective. There is no evidence as to the cost of the treatment. The suggestion as to its limited efficacy after two years, I assume, the plaintiff draws from Dr. Longridge's opinion that the damage to the plaintiff's inner ear resulting in dizziness is likely permanent given it has persisted for over two years. It was in the context of that opinion however that Dr. Longridge offered the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determining whether the plaintiff has failed to mitigate, the question to be answered is what would be expected of a reasonable person in the circumstances having regard to the plaintiff's medical condition at the material time and the advice given concerning treatment. Having found the plaintiff's symptoms of dizziness were not as serious as he described and were resolving by the time of Dr. Longridge's report and only occasional by July 2014, I find the vestibular physiotherapy would likely have had little impact on the plaintiff's recovery. Had the plaintiff's symptoms of dizziness been as severe as he described and persisted as predicted by Dr. Longridge, I would have concluded the plaintiff had failed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the plaintiff's award of damages be reduced owing to pre-existing soft tissue injuries to his neck, shoulder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 submits if the court finds the defendant is responsible only for an aggravation of pre-existing soft tissue injures to the plaintiff's neck, shoulder and upper back, then he should be granted an award in the range of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Where there is a measurable risk that a pre-existing condition would have resulted in a loss to the plaintiff in the future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that risk of loss must be taken into account in assessing certain heads of damages and serves to reduce the award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48, a measurable risk need not be proved on a balance of probabilities: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manifest or not, a weakness inherent in a plaintiff that might realistically cause or contribute to the loss claimed regardless of the tort is relevant to the assessment of damages. It is a contingency that should be accounted for in the award. Moreover, such contingency does not have to be proven to a certainty. Rather, it should be given weight according to its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Here the plaintiff acknowledged having a "neck and shoulder issue" before the accident but said it did not slow him down. The pre-accident massage therapy records dating from July 2009 to March 2010 indicate Dr. Hancott sought treatment for numbing and tingling pain on the right shoulder blade up to the base of the neck. He received 10 treatments. On July 8, 2009, at the outset of the massage therapy sessions, Dr. Hancott reported that the pain was affecting his daily activities: "(It) makes me tired and sitting for long periods is difficult/uncomfortable". He also wrote the condition had occurred before and had not resolved. At the same time however Dr. Hancott indicated that he was satisfied with his ability to relax, exercise, overall health, energy level and sleep. The clinical record for his last pre-accident massage appointment on March 27, 2010, with respect to his symptoms reads: "doing all right generally, has R side L (low) back spasm, no sciatica". He continued to receive chiropractic treatments until May 2010. The clinical records for that treatment are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Dhawan had the plaintiff pre-accident massage records by the time he prepared his report, but offered no opinion about whether the plaintiff would have suffered the same or similar symptoms absent the accident. In cross-examination he described this as a possibility. Dr. Bishop, although asked to provide an opinion on this question by the defendants in his report, and despite expressly reviewing the pre-accident massage therapy and chiropractic records, did not do so. In his report, he said only that the plaintiff denied any prior history of persistent neck, upper and mid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testified that he stopped massage therapy prior to the accident for reasons other than improvement in his condition. Given he was experiencing some right sided neck and shoulders symptoms starting in July 2009 and up to and including May 2010, those symptoms may well have continued and contributed to a limited extent to the loss he claims for injuries to the same areas suffered in the accident. However, given the plaintiff's evidence that his prior neck and shoulder issue did not "slow him down", the absence of evidence to the contrary, and the wide range of other injuries he suffered in the accident, the most significant being dizziness and nausea, I conclude any negative contingency to be applied to the portion of his claim relating to his soft tissue injuries to be negligible. Therefore no reduction will be made to his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Non-pecuniary damages are awarded to compensate a plaintiff for his pain, suffering, loss of enjoyment of life, and loss of amenities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jurisprudence provides that the award should be fair and reasonable to both parties. Fairness is measured against awards made in comparable cases which may offer a rough guide. Each case however calls for individualized assessment and must be decided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see also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plaintiff seeks an award of $100,000 in non-pecuniary damages relying largely on </w:t>
      </w:r>
      <w:r>
        <w:rPr>
          <w:rFonts w:ascii="arial" w:eastAsia="arial" w:hAnsi="arial" w:cs="arial"/>
          <w:i/>
          <w:color w:val="000000"/>
          <w:sz w:val="20"/>
          <w:lang w:val="en-US" w:eastAsia="en-US" w:bidi="ar-SA"/>
        </w:rPr>
        <w:t>Moukhine v. Collins</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2012 BCSC 118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Moukhine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defendant submits the court should award the plaintiff $50,000 for non-pecuniary damages for soft tissue injuries and dizziness, if the court concludes the plaintiff's dizziness was mild, relying on </w:t>
      </w:r>
      <w:r>
        <w:rPr>
          <w:rFonts w:ascii="arial" w:eastAsia="arial" w:hAnsi="arial" w:cs="arial"/>
          <w:i/>
          <w:color w:val="000000"/>
          <w:sz w:val="20"/>
          <w:lang w:val="en-US" w:eastAsia="en-US" w:bidi="ar-SA"/>
        </w:rPr>
        <w:t>Dial v. Grewal</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2010 BCSC 759</w:t>
        </w:r>
      </w:hyperlink>
      <w:r>
        <w:rPr>
          <w:rFonts w:ascii="arial" w:eastAsia="arial" w:hAnsi="arial" w:cs="arial"/>
          <w:color w:val="000000"/>
          <w:sz w:val="20"/>
          <w:lang w:val="en-US" w:eastAsia="en-US" w:bidi="ar-SA"/>
        </w:rPr>
        <w:t xml:space="preserve">. She submits an award of $65,000 would be appropriate in the event the court concludes the plaintiff's dizziness is more severe, relying as the plaintiff does on </w:t>
      </w:r>
      <w:r>
        <w:rPr>
          <w:rFonts w:ascii="arial" w:eastAsia="arial" w:hAnsi="arial" w:cs="arial"/>
          <w:i/>
          <w:color w:val="000000"/>
          <w:sz w:val="20"/>
          <w:lang w:val="en-US" w:eastAsia="en-US" w:bidi="ar-SA"/>
        </w:rPr>
        <w:t>Moukhine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Dial</w:t>
      </w:r>
      <w:r>
        <w:rPr>
          <w:rFonts w:ascii="arial" w:eastAsia="arial" w:hAnsi="arial" w:cs="arial"/>
          <w:color w:val="000000"/>
          <w:sz w:val="20"/>
          <w:lang w:val="en-US" w:eastAsia="en-US" w:bidi="ar-SA"/>
        </w:rPr>
        <w:t xml:space="preserve"> the plaintiff suffered dizziness for the first couple of months after the accident when she stood up. It gradually reduced in frequency over the following several months. Dr. Hancott's symptoms of dizziness were far more pervasive and long lasting, making </w:t>
      </w:r>
      <w:r>
        <w:rPr>
          <w:rFonts w:ascii="arial" w:eastAsia="arial" w:hAnsi="arial" w:cs="arial"/>
          <w:i/>
          <w:color w:val="000000"/>
          <w:sz w:val="20"/>
          <w:lang w:val="en-US" w:eastAsia="en-US" w:bidi="ar-SA"/>
        </w:rPr>
        <w:t>Dial</w:t>
      </w:r>
      <w:r>
        <w:rPr>
          <w:rFonts w:ascii="arial" w:eastAsia="arial" w:hAnsi="arial" w:cs="arial"/>
          <w:color w:val="000000"/>
          <w:sz w:val="20"/>
          <w:lang w:val="en-US" w:eastAsia="en-US" w:bidi="ar-SA"/>
        </w:rPr>
        <w:t xml:space="preserv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Moukhine</w:t>
      </w:r>
      <w:r>
        <w:rPr>
          <w:rFonts w:ascii="arial" w:eastAsia="arial" w:hAnsi="arial" w:cs="arial"/>
          <w:color w:val="000000"/>
          <w:sz w:val="20"/>
          <w:lang w:val="en-US" w:eastAsia="en-US" w:bidi="ar-SA"/>
        </w:rPr>
        <w:t>, the plaintiff was awarded $90,000 for non-pecuniary damages. His injuries also included headaches, soft tissue injuries, dizziness, nausea and balance problems. He was unable to work at all for six months and by the time of trial, was not yet fully recovered. The court accepted the expert evidence of Dr. Longridge who was of the view the plaintiff suffered from visual vestibular mismatch and was unlikely to recover, his symptoms having persisted for four years after the accident. In addition to his own evidence, which the court found credible, the plaintiff relied upon the testimony of his family members and friends to establish the very serious ongoing impact of his injuries on various aspects of his enjoyment of life, including being unable to return a wide range of outdoor activities or working full time in a job that he loved. He was no longer cheerful and outgoing. He was limited to working for just over two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agree with the defendant's assertion that the pain and suffering experienced by Dr. Hancott is significantly less severe than that of Mr. Moukhine although the nature of their injuries is very similar. Unlike Mr. Moukhine, Dr. Hancott was able to return to working very long hours shortly after the accident. Nor do I have the same quality of evidence regarding the ongoing impact of his injuries on various aspects of his life. Each case is to be assessed on its own particular facts. Considering all of the circumstances, including the wide range of symptoms, pain and discomfort the plaintiff experienced while working for two years after the accident, and the factors identified in Stapley, I regard an award of $68,000 for non-pecuniary damages to be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seeks $249,000 in past loss of income. He asks the court to draw the inference that his injuries contributed materially to the loss of his job with UCW. In the alternative the plaintiff argues his claim under this head of damage ought to succeed because his ongoing symptoms "must surely" have impacted on his lengthy unemployment which cannot otherwise be explained. The defendant submits there is no evidence the plaintiff was unable to work because of his injuries and therefore he is not entitled to any damages for past loss of income or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bases the amount of his claims for both past and future loss of income or earning capacity on a report prepared by Mr. James Blatchford, a forensic accountant. The report considers past loss of income from July 28, 2010 to February 10, 2015. It compares Dr. Hancott's "actual post-accident earnings" with his "expected post-accident earnings", based on Mr. Hancott's earnings in the years preceding the accident. Mr. Blatchford concludes the plaintiff's after tax loss of income was in a range from $219,000 to $279,000. Mr. Blatchford also concludes Dr. Hancott suffered no loss of income in 2010 or 2011. His analysis assumes the plaintiff's injuries reduced his ongoing work capacity and his employment with UCW was terminated because he was unable to fulfill all of his responsibilities as CAO due to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Claims for past loss of income or loss of capacity are subject to the same legal test as those for loss of future earning capacity. The plaintiff must prove that his injuries impaired his ability to earn income. While the burden of proof relating to actual past events is a balance of probabilities, hypothetical events including those that are past will be considered as long as there was or is a real and substantial possibility they would occur,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The Court of Appeal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put the matter this way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plaintiff is entitled to compensation based on what he would have, not could have, earned but for the injuries caused by the accident: see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evidence is that he missed five or six days from work after the accident because of his injuries. There is no evidence he suffered any loss of income as a result. Nor does the plaintiff claim to have lost any income due to his injuries prior to the termination of his job with UCW in August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Although the plaintiff testified that he experienced significant ongoing pain, dizziness and nausea following his return to work after the accident, he continued to work long hours and he was not aware of any complaints or concerns about his work performance. After the accident, the plaintiff's position changed from acting dean to senior academic officer and then to CAO, promotions that involved increasing levels of responsibility. The plaintiff thought he was managing and in fact doing a good job as CAO. He was very surprised and shocked when he was terminated. Dr. Hancott's evidence about his job performance is consistent with that of Dr. Magee Shepherd. She testified he continued to complete the tasks required of his positions satisfactorily and in some instances well both before and after the accident. Neither Dr. Magee Shepherd nor Dr. Scott was able to give any evidence about the circumstances surrounding Dr. Hancott's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no medical evidence that the plaintiff was unable or ought not to have worked or perform some of his job duties due to the injuries 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all of the circumstances, I conclude the plaintiff has not established the injuries he suffered in relation to the accident caused or materially contributed to his loss of employment in August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also conclude the plaintiff has not established that his injuries and symptoms contributed to his ongoing unemployment up to the time of trial or his capacity to earn income had he found employment. In other words, he has not proven that the injuries he suffered in the accident impaired his ability to earn past income after the termination. Although the plaintiff testified he did not challenge his dismissal from UCW because he thought he needed time to rest and recover, he also testified that within a few weeks he began making applications for positions with other academic institutions including SFU, NYIT and BCIT and has continued to seek employment. He indicated he has records to confirm his efforts but his evidence on this point was not very specific. In any event, he did not suggest he has been unsuccessful in his job search because of his injuries or symptoms. In fact, Dr. Hancott confirmed that he has not revealed his symptoms to any potential employer and he provided no evidence that his injuries or symptoms have interfered in any way with his efforts to look for a job. I infer from the positions he testified to seeking and his decision to enter politics, that he regarded himself as capable of fulfilling such roles. Based on the evidence regarding his long hours of work up to his termination in 2012 and the absence of evidence that his symptoms subsequently worsened after that, I conclude Dr. Hancott has not established his injuries caused him to suffer past wage loss or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seeks an award of $1,000,000 for loss of future earning capacity. Mr. Blatchford, in his report, concludes that he cannot offer an unqualified opinion of the present value of Mr. Hancott's loss of future income, given the "indeterminate" nature of the "timing and completeness of his full recovery". Instead the report sets out a calculation method for assessing the present value of the plaintiff's future loss of income from the period from February 10, 2015 to February 18, 2031 (the plaintiff's 65th birthday). The calculation method is based on the same assumptions that underlie the assessment of the plaintiff's loss of past wages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cases make clear that in advancing a future loss of capacity claim, the plaintiff must first prove a real or substantial possibility of a future event leading to a loss of income, as opposed to a theoretical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onus on the plaintiff is not heavy but must nonetheless be met in order to justify a pecuniary award: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If the plaintiff discharges the burden of proof, then depending upon the facts of the case, the plaintiff may prove the quantification of that loss of earning capacity, on an earnings approach or a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Hancott's claim for future loss of earning capacity is based largely on what he refers to as Dr. Longridge's view that his "vestibular problem" is a permanent partial disability. The plaintiff argues that because of this partial disability there is a real and substantial possibility he will suffer income loss into the indefinite future. The plaintiff submits he has lost 50% of his earning capacity, relying on his own evidence regarding his ongoing symptoms, his struggles during the mayoral campaign, the limits he continues to place on his own activities and some of the information he reported to Dr. Longridge about his experience of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Again none of the medical evidence expresses the view that Dr. Hancott's capacity to earn income has been diminished by the injuries he suffered in the accident. Dr. Dhawan's opinion in July 2014 was that the plaintiff should be able to continue on with either his administrative job or enter into politics. Dr. Bishop found no reason for the plaintiff not to either return to or continue with all his pre-accident work related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have already found Dr. Longridge's prognosis - expressed in terms of his experience that where symptoms of dizziness continue for two years or more they are likely permanent - proved to be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To the extent the plaintiff continues to suffer from some intermittent pain or discomfort in his neck and upper back or occasional dizziness and nausea, based on the evidence, I find those symptoms even when taken together are not sufficient to establish a real and substantial possibility of a future pecuniary loss. Accordingly, I conclude the plaintiff has not suffered an ongoing injury caused by the accident that would impair his ability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Having failed to discharge his burden of proof, there is no loss of capacity to quantify. Accordingly, I grant no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 seeks $7,000 for the cost of future care based upon half of what he claims in special damages for medical and rehabilitation expenses. He submits this amount will provide him with a "contingency fund" to draw upon for medication such as Gravol and Tylenol, injections, and stability devices as he ages with a balance disorder. He argues the award will help him manage his symptoms and relate to his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At law, the plaintiff is entitled to compensation for the cost of future care based on what is reasonably necessary to restore him to his pre-accident condition, if possible. When full restoration cannot be achieved, the court must strive to assure full compensation through the provision of adequate future care: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172;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29 - 30. In addition to being reasonable, a claim for the cost of future care must be medically justified: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199;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62 - 63. The analysis is an objective one but it is not an exercise in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Recommendations from a medical doctor and health care professionals are relevant in determining whether an item claimed is medically justified: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An evidentiary link between the physician's assessment of pain, disability, and recommended treatment is essential: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Munoz</w:t>
      </w:r>
      <w:r>
        <w:rPr>
          <w:rFonts w:ascii="arial" w:eastAsia="arial" w:hAnsi="arial" w:cs="arial"/>
          <w:color w:val="000000"/>
          <w:sz w:val="20"/>
          <w:lang w:val="en-US" w:eastAsia="en-US" w:bidi="ar-SA"/>
        </w:rPr>
        <w:t xml:space="preserve"> at para.189.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Hancott made no submissions as to the cost of or the medical justification for the expenses he identified as falling within the scope of the "contingency fund" he seeks. With respect to injections, the evidence is the plaintiff received facet blocks and prolotherapy from Dr. Dhawan up to November 2013 as well as injections from his family doctor. In addition Dr. Taylor has provided him with ongoing injections, the contents of which are unknown. Although Dr. Dhawan advised the plaintiff in July 2013 it was safe to continue with Dr. Taylor's injections, by the their last appointment in July 2014, he deferred to Dr. Taylor regarding the need for further injections. In his report, Dr. Bishop recommended the plaintiff avoid all forms of non-evidence based treatment. It is clear this would include Dr. Taylor's injections. While the plaintiff testified the injections provide him with some temporary pain relief, in these circumstances I am not able to conclude they are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provided some evidence about continuing to use Gravol and Tylenol to deal with symptoms of nausea and pain, respectively. I note however his highly particularized special damages claim seeks very limited compensation for their purchase since the accident, causing me some doubt as to how necessary they are likely to be in the future. I am left to conclude that Dr. Hancott has actually used very little of either of these over-the-counter medications up to this time and therefore he is unlikely to use them to manage any ongoing symptoms he may have, in the future, despite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Finally the plaintiff mentions a stability device for use in the future. Dr. Longridge's report sets out that as the plaintiff ages it is probable "he is more likely to run into difficulties" with balance and unsteadiness than someone who has not suffered an injury to his balance system. He made no recommendations in relation to this increased risk other than optimizing "osteoporosis management". The plaintiff's own evidence regarding problems with balance was scant. He said only that it was affected but he had not fallen. In the absence of a medical justification and any estimate of cost, I conclude this item is not part of a valid future cost of care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claims $14,000 in special damages. His claim includes the cost of massage, acupuncture, chiropractic treatment, injections, supplements, prescriptions, non-prescription medications, an exercise program, two MRI, dental fees, the cost of a neuropsychological assessment, gardening services, parking and travel costs including those related to the assessment which occurred in San Francisco.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 disputes many of the items claimed, but not the cost of the two MRIs or the cost of massage therapy provided by the Austin Avenue Therapeutic Massage Clinic in 2010 (further to a referral made by the plaintiff's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Claims for special damages are subject to a standard of reasonableness in the context of the injuries suffered: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at para. 55. Medical justification for an expense that relates to treatment aimed at promoting the plaintiff's physical or mental well-being is a factor in determining whether it is reasonable. Subjective factors can also be considered, including whether the plaintiff believes the treatments were medically necessary. With respect to cost, the courts have been prepared to allow claims for expenses at the level of optimum care, although plaintiffs are not entitled to recovery for the cost of any procedure they believe will make them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There is little evidence of a medical justification for most of the disputed expenses claimed by the plaintiff, excepting the treatment provided by Dr. Taylor up to July 2014 based on Dr. Dhawan's evidence. However I conclude the disputed expenses claimed by the plaintiff, and excepting those set out below, are reasonable in so far as it apparent they were aimed at treating the plaintiff's symptoms and injuries related to the accident and promoting his physical well-being, as well as subjective factors. I include the cost associated with the dentist Dr. Samson Ng on March 23, 2013. Although the plaintiff has not proven he suffered TMJ injury as a result of the accident, I have found he did suffer the jaw symptoms he described and I accept he saw Dr. Ng for this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cost of the assessment completed by the neuropsychologist in San Francisco however is not recoverable. The plaintiff testified that none of his medical practitioners recommended he be assessed by Dr. Angelone. Further, there is no evidence that any such assessment was ever suggested. It was not made clear to me why the plaintiff sought out Dr. Angelone, except to say he hoped for some help with his dizziness given the psychologist's "credentials". The cost of the assessment was $4,000 (US). The plaintiff's travel and accommodation costs were an additional $4,125.00. In my view these expenses are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accept the defendant's submission that the cost of gardening services claimed by the plaintiff is also not reasonable. The evidence is the gardener provided services both before and after the accident; the plaintiff would have continued to require the services in any event because of his work schedule. I also decline to award the plaintiff the cost of any prescription medications unrelated to pain, dizziness or nausea. I trust counsel will be able to agree upon which of those medications may therefore be compensated and to calculate the precise amount of the special damages I have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parties are at liberty to make submissions regarding the issue of costs, if unable to agree. I will require each of them to file brief written submissions in advance of a costs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Harris v. Gill, [2019] B.C.J. No. 1839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MacDonald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10-14 and 17-21,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M169751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1665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Luke Douglas John Harris, Plaintiff, and Amarjeet Gill,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5" w:name="Keywords_11"/>
      <w:bookmarkEnd w:id="75"/>
      <w:r>
        <w:rPr>
          <w:rFonts w:ascii="arial" w:eastAsia="arial" w:hAnsi="arial" w:cs="arial"/>
          <w:b/>
          <w:color w:val="000000"/>
          <w:sz w:val="20"/>
          <w:lang w:val="en-US" w:eastAsia="en-US" w:bidi="ar-SA"/>
        </w:rPr>
        <w:t>Damages — Types of damages — For personal injuries — Cost of future care — Loss of earning capacity — Special damages — Expenses and expenditures — Medical — Therapy or rehabilitation — Non-pecuniary loss — Pain and suffering — Action for personal injuries suffered in a 2015 motor vehicle accident — Plaintiff, 36, suffered lower back pain that persisted after accident — He was injured in 2016 workplace accident but did not injure his back — Plaintiff continued to work as a commercial truck driver despite pain — Plaintiff awarded non-pecuniary damages of $80,000, past wage loss of $747, future loss of earning capacity of $150,000, cost of future care of $30,000 and special damages of $5,488.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6" w:name="Case Summary_10"/>
            <w:bookmarkEnd w:id="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2015 motor vehicle accident. The plaintiff, 36, argued that he suffered lower back pain, headaches and neck and shoulder pain after the accident. In 2016 he was involved in a workplace accident in which he suffered a concussion and injured his neck. He was off work for over six months. The plaintiff argued that his persistent lower back pain was the result of the motor vehicle accident and had not improved at the time of the workplace accident. The defendant argued the plaintiff's accident injuries were fully resolved before the workplace accident. The plaintiff worked as a commercial truck driver and returned to work shortly after the 2015 accident. He had a previously asymptomatic spinal degeneration.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7" w:name="Holdings of Court_7"/>
            <w:bookmarkEnd w:id="7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established that the plaintiff continued to have lower back pain at the time of the 2016 accident. His previously asymptomatic spinal defect became symptomatic, causing pain. His injuries, apart from the lower back pain, resolved prior to the 2016 accident. The lower back pain was not the result of the 2016 accident. While there might have been some aggravation of his lower back pain by the 2016 accident, the contribution did not exceed the de minimis range. The court also accepted that the lower back pain was likely permanent although there was a real possibility he might benefit from future treatments and fully recover. He was awarded $80,000 for non-pecuniary damages to reflect the duration of his mild to moderate chronic pain, and the irritability and frustration that had arisen from his pain. It also reflected the ongoing costs to the plaintiff's social and recreational activities, and the significant, if temporary, impairment of his relationship with his girlfriend. His past wage loss totalled $747. His pain would restrict his employment options into the foreseeable future. He was less marketable and had lost the ability to take advantage of all job opportunities. A capital assessment approach to assess the loss was appropriate because it was not easily quantifiable. He was awarded $150,000 for loss of future loss of earning capacity based on a loss of less than 10 per cent. He was awarded $30,00 for facet joint rhizotomies and special damages totalling $5,488.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8" w:name="Legislation Cited_3"/>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3"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Compensation Act, R.S.B.C. 1996, c. 492, s. 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9" w:name="Counsel_11"/>
      <w:bookmarkEnd w:id="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R.C. Marcoux, B. Therrien.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 Kushneryk, J H. Willcock.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0" w:name="Judgment_11"/>
      <w:bookmarkEnd w:id="80"/>
      <w:r>
        <w:pict>
          <v:line id="_x0000_s1085"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Pre-2015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Post-Motor Vehicle Accident Health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Post-Motor Vehicle Accident Work and Leisure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WCB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Return to Work until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Aaron MacInnes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Richard Brownlee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Jeff Padvaiskas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Jeff Ford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Graham Struthers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Issues re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REVIEW DIVISION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FACTUAL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Mr. Harris' Injuries Resolved by August 24,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WCB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Future Earning Capacity been Impaired by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Quantification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1" w:name="D.C. MacDONALD J."/>
            <w:bookmarkEnd w:id="81"/>
            <w:r>
              <w:rPr>
                <w:rFonts w:ascii="arial" w:eastAsia="arial" w:hAnsi="arial" w:cs="arial"/>
                <w:b/>
                <w:color w:val="000000"/>
                <w:sz w:val="30"/>
                <w:lang w:val="en-US" w:eastAsia="en-US" w:bidi="ar-SA"/>
              </w:rPr>
              <w:t>D.C. MacDONALD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Harris, is 36 years old. He was in a motor vehicle accident in Abbotsford, BC on December 2, 2015 (the "motor vehicle accident", the "2015 accident", or the "accident"). The defendant, Ms. Gill, admits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Harris submitted that after the accident, he developed lower back pain with radiating pain symptoms into his right leg. He tendered medical evidence that prior to the accident, he had an asymptomatic underlying spinal deformity. Mr. Harris argued that his lower back pain was a result of his spinal deformity becoming symptomatic. Mr. Harris also argued that he suffered from headaches and neck and shoulder pain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Harris was involved in an accident at work on August 24, 2016 (the "WCB accident"), and suffered a concussion and injured his neck. There is a dispute about whether Mr. Harris injured his lower back in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takes the position that Mr. Harris' lower back pain, which at the time of trial was his primary complaint, was caused by the motor vehicle accident. He takes the position that it had not improved by the time of the WCB accident. He argues that Mr. Harris' lower back injury is a 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takes the position that all of Mr. Harris' injuries were fully resolved before the WCB accident. Consequently, I would need to apportion the damages as between the motor vehicle accident and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Court must decide the following:</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were caused by the 2015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any of these injuries resolved prior to the WCB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injuries had not resolved prior to the WCB accident, are they divisible or indivisible injuries as between the two accidents?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are Mr. Harris entitled to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is a summary of the evidence of the lay witnesses who testified at the trial. I briefly set out their evidence, but leave the details for discussion under the issues I address. Although I do not summarize all aspects of the evidence, I have considered the totality of the evidence in reaching my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Pre-2015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Harris, who lives in Aldergrove, BC, is the youngest of three children. He has two older sisters named Joslyn and Jessica.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Harris testified that he was diagnosed with a learning disability as a child. Mr. Harris could read and remember things, but he had difficulties with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highest level of education Mr. Harris completed was grade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he left school, Mr. Harris worked in both landscaping and construction with different members of his family. In 2011, Mr. Harris got his Class 1 driver's license, which allowed him to become a commercial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Harris purchased a house with his mother and his sister, Joslyn, in 2009. Mr. Harris landscaped the backyard and took on the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Ashley Ferguson, Mr. Harris' girlfriend; Ms. Patricia Parker, his mother; and Ms. Jessica Harris, his sister, testified for Mr. Harris. They described Mr. Harris as happy-go-lucky prior to the motor vehicle accident. He was active and enjoyed camping, kayaking, riding his ATV, and working out with his brother-in-law, Mr. Stefano Tassone. This accords with Mr. Harris'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Harris testified that he was not aware of any issues with his spine or lower back prior to the 2015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Glenn Anderson has been Mr. Harris' family doctor since he was eight or nine years old. Dr. Glenn Anderson provided fact evidence at the trial. Dr. Glenn Anderson's records do not contain any mention of ongoing lower back pain prior to the 2015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Harris worked at several companies as a truck driver in the years before the accident. At the time of the 2015 accident, Mr. Harris was working for the Ledcor Group ("Ledcor") as a garbage truck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Post-Motor Vehicle 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December 2, 2015, Mr. Harris was in the curb lane on South Fraser Way in Abbotsford, BC. The defendant, Ms. Gill, struck his vehicle on the driver's side and pushed it into the curb. Ms. Gill remembers almost no details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Harris testified that he immediately felt pins and needles in his lower back and a tingling sensation in his right leg. Within a couple of weeks, Mr. Harris complained of headaches. He also had neck and shoulder discomfort by the end of January. Mr. Harris testified that he had a sharp pain in his lower back whenever he walked or bent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Harris missed a couple days of work at Ledcor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Harris saw Dr. Glenn Anderson about his injuries. Dr. Glenn Anderson told Mr. Harris to attend physiotherapy and to keep working because he was worried Mr. Harris' symptoms would get worse if he did not stay physical.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Harris attended massage therapy, physiotherapy, chiropractic therapy, and acupuncture. He testified that his neck and shoulder pain improved within a few months of the accident. Mr. Harris testified that his lower back pain and radiating pain into his right leg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Harris admitted during cross-examination that his headaches resolved within two or three weeks of the motor vehicle accident. This is consistent with Dr. Glenn Anderson's clinical records, which demonstrate that Mr. Harris complained of headaches on December 22, 2015 and January 14, 2016, but not in subsequent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Glenn Anderson sent Mr. Harris for an X-ray of his lumbar spine in January 2016. The report found moderate facet joint degenerative changes at L3-L4 and L4-L5. In addition, the X-ray report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bilateral pars defect at L5 S1 with anterolisthesis of L5 and S1 of 1.8 cm. There is a transitional lumbosacral articulation with partial lumbarization of the S1 vertebral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Ferguson described Mr. Harris as being in a lot of pain following the accident. He started to shut her out and become distant. Mr. Harris and Ms. Ferguson testified that their intimacy was significantly affected by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Harris described difficulties with sleeping due to pain and a decrease in his mood after the accident, which other lay witnesses confirmed. Ms. Ferguson testified that Mr. Harris became more withdrawn. He was grumpy, sad, and irritable. Ms. Ferguson stated that Mr. Harris would toss and turn in bed because he was having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the accident, Mr. Harris gained approximately 40 pounds. He had lost some of this weight prior to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Post-Motor Vehicle Accident Work and Leisure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Mr. Harris was previously responsible for all of the outdoor work and the vacuuming, he testified that his mother has taken over these tasks since the accident. His sister does not contribute around the property because she no longer lives with them. Mr. Harris and his mother testified that he has not maintained the yard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Harris testified that he has abandoned his pre-accident activities of kayaking, riding his ATV, and camping. He was able to remain at work, but is often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accident, Mr. Harris left Ledcor and began working at Urban Impact, picking up and disposing of bins containing cardboard throughout the Fraser Valley. He worked eight to ten hours per day and was often in and out of his vehicle. Mr. Harris testified that the bins he had to move when working at Urban Impact generally weighed 40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Harris admitted that Urban Impact terminated him for road 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Following his termination, Mr. Harris got a job at NSD Disposal as a driver delivering large bins to construction sites. He found this to be less physical work because he was in and out of the truck fewer times over the course of the day. However, he had to get out of his vehicle to adjust a bin if it was overloaded.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August 24, 2016, the plaintiff was involved in the WCB accident. Mr. Harris' vehicle was struck on the right side by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Harris attempted to work the day after the accident. He testified that his neck was so stiff that he could not turn it left or right. He did not complete his full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Harris attended a walk-in clinic the day after the WCB accident. The doctor prescribed Tylenol 3s and diagnosed him with a neck injury and a concussion. He went off work for over six months and received wage loss benefits from the Workers' Compensation Board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Harris and Dr. Glenn Anderson, his general practitioner, confirmed that his injuries from the WCB accident consisted of neck pain and a concussion. They denied that his back pain was a result of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Harris and the lay witnesses testified that Mr. Harris' back pain worsened after the WCB accident. By late September 2016, Mr. Harris' back and right leg pain became his worse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WCB initially accepted Mr. Harris' claim for neck strain, concussion, and lower back pain. The employer asked for a review of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Sidney Dennison, a Review Officer in the Review Division of WCB, concluded that Mr. Harris' lower back pain was not related to the WCB accident. Mr. Dennison found that Mr. Harris only sustained a concussion and a neck strain in the WCB accident. Mr. Harris did not dispute or appeal this finding because, according to him, "it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Harris had an MRI in October 2016 and an assessment by a neurologist, Dr. Beckman, in December 2016. Dr. Beckman diagnosed Mr. Harris with mechanical pain, with the possibility of mild irritation of the nerve root. He did not recommend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Harris never returned to work at NSD Disposal. Although he was offered a return to work on lighter duties, he refused the offered accommodations.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Return to Work until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Harris returned to work in February 2017, when he accepted a job with Aggressive Transport as a long haul driver. He delivers groceries to Prince George, the Interior, and eastern British Columbia. He occasionally has to put chains on his truck in winter conditions, but otherwise the job is not as physical as his previous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Harris testified that his back pain has changed little over the past two or so years. He has tried pain medications including Tylenol 3, cyclobenzaprine, and Lyrica, and topical creams such as Voltaren and A535.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Ferguson testified that Mr. Harris' back pain continues to affect their relationship and his relationship with her children. She described how she has to ask her children not to play with and jump on Mr. Harris as it exacerbates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Harris began receiving pain block injections in his lower back from Dr. Kamani in December 2018. They provide him significant, but temporary,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Tassone, Mr. Harris' brother-in-law, described how he modified their workout routine to accommodate Mr. Harris' ongoing lower back pain. Mr. Harris no longer does leg exercises and needs to be seated when he does his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Tassone testified that prior to the accident, Mr. Harris would lift the same amount of weight as him, which was up to two 40-pound dumbbells. Mr. Harris can now only lift 20-pound weights. He testified that Mr. Harris' strength is at about 60% of his pre-accident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cross-examination, Mr. Harris agreed that there were no work tasks he was unable to do following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following is a summary of the evidence of the expert witnesses who testified and whose reports were filed as exhibits in the trial. I set out their evidence in a general way but leave a number of details for discussion under the issues I address. In reaching my conclusions, I have considered the totality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Aaron MacInnes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Maclnnes was qualified as an expert in medicine with special training in anesthesiology and chronic pain management. He testified for the plaintiff. He performed an independent medical examination of Mr. Harris on July 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Maclnnes opines that Mr. Harris' pars defect and foraminal narrowing at L5-S1 pre-dated the motor vehicle accident. He testified that soft tissue injuries would not cause the foraminal narrowing, but they could cause the defect to become symptomatic. In his opinion, the motor vehicle accident rendered Mr. Harris' pre-existing conditions symptomatic. The foraminal narrowing is "most likely causing Mr. Harris' intermittent neurological symptoms in the right leg." In his opinion, Mr. Harris "developed chronic mechanical spine pain secondary to the whiplash injury he suffered in the motor vehicle accident on December 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MacInnes testified that from his interview with Mr. Harris and his review of the records, Mr. Harris continued to have lower back symptoms up to a month prior to the WCB accident. He opined that the WCB accident exacerbated the pain. Dr. Maclnnes further opined that the WCB accident had little impact on Mr. Harris' lower back and right leg symptoms. In his report, Dr. MacInnes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Harris has a moderate degree of degenerative change in the lower lumbar spine, specifically at the L5-S1 level. It is my opinion that those degenerative changes were most likely present prior to the motor vehicle accident on December 2, 2015. Mr. Harris was asymptomatic prior to the motor vehicle accident and was functioning at a normal capacity. It is my opinion that these degenerative changes, specifically the foraminal narrowing of the right side, are most likely causing Mr. Harris' intermittent neurological symptoms in the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MacInnes stated in his report: "[i]t is well accepted in medical literature that there is a percentage of people who suffer a whiplash injury that do not improve." Dr. MacInnes' report referenced a study of 117 patients, which found that 18% of individuals remained symptomatic two years after the injury. Dr. Maclnnes testified that there is a well accepted interplay between mood, pain, and sleep. Mr. Harris reported depression and anxiety, but on the low end. Dr. MacInnes was of the opinion that his sleep disorder was due to his pain and psychological issues from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Maclnnes opined that Mr. Harris' prognosis is guarded. Given the duration of time that he has continued to have symptoms, Mr. Harris will likely always have some form of lower back pain. However, at this point he is able to function and "further interventions may provide improved pain control and that may translate into an increased functional capacity and tolerance." He could not say whether Mr. Harris will be capable of working for the next 30 years in his current position and with his current workload.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Richard Brownlee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Brownlee was qualified as an expert in medicine with special training in neurosurgery. He testified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Brownlee noted an abnormality between the L5 vertebra and the sacrum, known as a bilateral L5 pars defect. He testified that the spinal defect identified on Mr. Harris' X-ray has probably been there since childhood. He explained that Mr. Harris' pars defect is a weakness in the vertebra often caused by a hyperextension injury in childhood that causes a fracture of the bone. He explained that Mr. Harris' defect is fairly common; most people with pars defects do not have any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Like Dr. MacInnes, In Dr. Brownlee's opinion, the motor vehicle accident aggravated Mr. Harris' pars defects, causing it to become symptomatic. This in turn caused his L5 and S1 vertebra to shift 1.8 cm. This means that Mr. Harris has grade one spondylolisthesis, because his vertebra has shifted 25% at L5/S1. Dr. Brownlee testified that this is common with pars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Brownlee testified that Mr. Harris had complained about urinary incontinence, which can be caused by compression of the sacral nerve roots. According to Dr. Brownlee, the MRI scans of Mr. Harris' back did not show any evidence of such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Brownlee opined that "Mr. Harris probably suffered a soft tissue injury to his neck as a result of the motor vehicle accident on December 2, 2015." Importantly, Dr. Brownlee attributed Mr. Harris' ongoing lower back symptoms to the 2015 accident, not the WCB accident. However, he noted in his report that his lower back symptoms worsened after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Harris' lower back pain likely arises from the lumbar facet joints. Dr. Brownlee recommended diagnostic medial branch blocks (freezing the nerves) to confirm where the pain is coming from. He testified that Mr. Harris could also try rhizotomies (selectively destroying the nerves), which would provide 12 to 18 months of pain relief. The rhizotomy procedure could be repeated as needed. Mr. Harris could also try spinal fusion surgery. Surgery is the most extreme treatment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Brownlee stated in his report that Mr. Harris would "probably continue to be partially disabled in the future as a result of his chronic lower back pain." However, he agreed in cross-examination that Mr. Harris' condition may improve over time and he could become asymptomatic.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Jeff Padvaiskas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Padvaiskas was qualified as an expert for the plaintiff in occupational therapy with special training in functional capacity evaluations. His evaluation focussed on Mr. Harris' ability to interact with the environments in which he must function. His report is structured to correlate with the Canadian National Occupational Classification ("NOC")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Padvaiskas observed Mr. Harris in a number of work simulations over the course of approximately six hours on January 23, 2019. He tested for overall performance and looked for durability and reliability of Mr. Harris'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Padvaiskas acknowledged that Mr. Harris was guarded with bending and lifting activities. He declined formal lifting tests, citing his lower back pain. Mr. Padvaiskas therefore had to assess Mr. Harris' lifting and bending capabilities through other tests during the day. Overall, he thought Mr. Harris made a competitive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Padvaiskas pointed to numerous examples of unplanned modifications Mr. Harris made that, in Mr. Padvaiskas' opinion, pointed to the validity of his reported symptoms and limitations. He testified that Mr. Harris' performance deteriorated when he was in non-optimal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Padvaiskas opined that Mr. Harris is able to do his current job because it does not have many physical demands, he is able to take breaks often enough, and he has had the good fortune to not encounter much bad weather (i.e., he does not have to put chains on the vehicle often). He also uses modified methods to complete his work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Mr. Padvaiskas is of the opinion that Mr. Harris is not well-suited to his current occupation. Mr. Padvaiskas opined that Mr. Harris' durability in his position as a long-haul trucker is not guaranteed due to his ongoing pain. Mr. Padvaiskas concluded that Mr. Harris is not suitable for heavier strength jobs than his current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Jeff 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Ford testified for the defendant. He was qualified as an expert in the field of occupational therapy training in functional capacity evaluations. He provided a rebuttal report to Mr. Padvaiskas'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stressed that he asked Mr. Ford for the notes he relied upon in writing his report. His telephone notes were not produced until the day before his testimony. He testified that he did not produce these earlier because he did not understand what a file record was. He had not been qualified as an expert in BC prior to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argued that Mr. Ford did not understand his role as an expert. Mr. Ford was challenged in cross-examination regarding his independence and his role in assisting the court. He was also challenged for having no clinical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argued that the facts and assumptions upon which Mr. Ford based his report were not balanced or fair. He "cherry picked" which evidence to include and exclude. The plaintiff emphasized that Mr. Ford's approach to his evidence reflected that he was originally hired to help with cross-examination, which is consistent with the first letter of instruction. This is not an independent role. Moreover, he included opinions on causation, which is the role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Many of the experts provided their opinions on causation, including those retained by the plaintiff. I agree with plaintiff's counsel that Mr. Ford did not present as an independent and unbiased expert based on his one-sided selection of facts and assumptions on which he based his opinion. I give little weight to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Graham Struthers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Struthers is a medical consultant with Lifemark and acts as a consultant for WorkSafeBC. He makes suggestions for treatment and/or investigations that may be considered by WorkSafeBC. There is no guarantee that WorkSafeBC will accept his suggestions.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Struthers did a medical assessment of Mr. Harris on October 18, 2016 to provide his opinion regarding whether he could return to work. He had no independent recollection of Mr.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Struthers diagnosed Mr. Harris as having mechanical low back and neck pain. The lower back pain had some features of a right L5 nerve root involvement. He ordered an MRI to investigate. However, he accepted that Mr. Harris had fully recovered from the 2015 accident prior to the WCB accident, including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One of the leading authorities on credibility is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16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Justice Dillon summarized the key elements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[their] memory, the ability to resist the influence of interest to modify [their] recollection, whether the witness' evidence harmonizes with independent evidence that has been accepted, whether the witness changes [their]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 (R.D.)</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199"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court cannot assess credibility solely on the demeanour of a witness. Credibility must be assessed in accordance with the preponderance of the probabilities when reviewing the evidence as a whole: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19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187. The court must determine the extent to which a witness' evidence harmonizes with independent evidence that has been accepted, rather than placing undue weight on the demeanor of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Issues re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argues that Mr. Harris was a credible witness for the following reasons: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more or less told one story throughout his evidence. He may have mixed up some details occasionally, but his overall story remained the same.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story is corroborated by the collateral witnesses, including his mother, sister, brother-in-law, and family doctor.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is a product of his environment. He has a learning disability, did not graduate from high school, and has worked in physical jobs his entire adult life. Certain errors are easily understandable in this context.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symptom complaints correlate with the medical imaging.</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near weekly appointments with Dr. Kamani for pain relief are indicative of someone trying to manage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questions the credibility of the plaintiff on a number of grounds. I summarize them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October 25, 2017 examination for discovery, Mr. Harris was asked why he left the employ of Urban Impact in the spring of 2016. He answered at page 59, question 424: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They basically told me that I had to work the 12 hour shift and they told me that I had to go back out and complete another route, which would have been another 10 to 12 hours, and I told them that I'm not going to do that, so I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at trial, the plaintiff testified that he was terminated from Urban Impact due to a road rage incident where he physically struck another vehicle with his hand.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the bins he had to move when working at Urban Impact generally weighed 40 pounds. Mr. Gabriel, a witness for the defendant who was Mr. Harris' supervisor at Urban Impact, testified that the recycling bins generally weigh between 300 and 500 pounds.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told Mr. Padvaiskas that at the time of the accident he was working for NSD Disposal. He was in fact working for Ledcor.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at trial was that Mr. Harris left Ledcor due to a change in pay structure. In contrast, Mr. Harris advised Mr. Padvaiskas he switched jobs because he needed less physically demanding work.</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advised Dr. MacInnes that he and his brother-in-law exercised every other day and occasionally on a daily basis. In cross-examination, Mr. Tassone stated that they exercised together on average twice a week.</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refused to lift five- and ten-pound weights for Mr. Padvaiskas, yet Mr. Harris and Mr. Tassone testified that post-accident Mr. Harris was able to lift 20-pound dumbbells while exercising. This also contrasts with his ability to move recycling bins and lift up to 40 pounds at work.</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advised Dr. Brownlee that he was able to continue working after the accident because he was attending physiotherapy, massage therapy, and acupuncture. Dr. Brownlee was unaware that Mr. Harris continued to work his physically demanding job at NSD Disposal for two-and-a-half months after he stopped his treatments and before the WCB accident.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 advised Dr. Brownlee that his lower back symptoms became gradually worse after the WCB accident because he was unable to continue with his physiotherapy and chiropractic treatments. He advised Dr. Brownlee that WorkSafeBC had "cut his funding". Mr. Shahrestani, the physiotherapist, testified that Mr. Harris had seven remaining treatments available to him when he stopped treatment in May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argues that the plaintiff's sister's testimony was unreliable as she was out of the country for most of the period between the motor vehicle accident and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argues that I should draw an adverse inference from the fact that Mr. Harris did not call any coworkers to testify and because he did not have Dr. Anderson, his psychiatrist,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Lastly, the defendant argues that I should scrutinize the evidence of the plaintiff's girlfriend, as they began dating only six weeks before the accident. They therefore had limited time together prior to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Harris led evidence to support his claim for damages for injuries suffered. However, much of this evidence was premised on his subjective complaints of pain. I agree with the defendant that there were some troubling inconsistencies in Mr. Harris' testimony. For example, he testified that he took a lot of Tylenol 3s after the motor vehicle accident. This was not established on a review of his PharmaNet Record. He also advised the medical professionals he saw that he was tolerating his work prior to the WCB accident by having physiotherapy, massage, and acupuncture treatments. This was incorrect. Some of these inconsistencies speak to credibility; other inconsistencies demonstrate that Mr. Harris is an unreliable historian. This is despite Mr. Harris' testimony that he has an excellent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Given the inconsistencies in his testimony, I must exercise caution and examine his evidence carefully. I must take into account Mr. Harris' potential self-interest in the outcome of the litigation. I find the passage of Justice Southin in </w:t>
      </w:r>
      <w:r>
        <w:rPr>
          <w:rFonts w:ascii="arial" w:eastAsia="arial" w:hAnsi="arial" w:cs="arial"/>
          <w:i/>
          <w:color w:val="000000"/>
          <w:sz w:val="20"/>
          <w:lang w:val="en-US" w:eastAsia="en-US" w:bidi="ar-SA"/>
        </w:rPr>
        <w:t>Sandhu v. Braich</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(1991), 61 B.C.L.R. (2d) 273</w:t>
        </w:r>
      </w:hyperlink>
      <w:r>
        <w:rPr>
          <w:rFonts w:ascii="arial" w:eastAsia="arial" w:hAnsi="arial" w:cs="arial"/>
          <w:color w:val="000000"/>
          <w:sz w:val="20"/>
          <w:lang w:val="en-US" w:eastAsia="en-US" w:bidi="ar-SA"/>
        </w:rPr>
        <w:t xml:space="preserve"> (C.A.), adopted more recently in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 44, helpful in these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 It is trite law - although I note that what is trite law is frequently brushed aside - that in order for an expert to give an opinion the facts upon which he [or she] gives that opinion must be proven by the person who has personal knowledge of them: see </w:t>
      </w:r>
      <w:r>
        <w:rPr>
          <w:rFonts w:ascii="arial" w:eastAsia="arial" w:hAnsi="arial" w:cs="arial"/>
          <w:i/>
          <w:color w:val="000000"/>
          <w:sz w:val="20"/>
          <w:lang w:val="en-US" w:eastAsia="en-US" w:bidi="ar-SA"/>
        </w:rPr>
        <w:t>Enge v. Trerise</w:t>
      </w:r>
      <w:r>
        <w:rPr>
          <w:rFonts w:ascii="arial" w:eastAsia="arial" w:hAnsi="arial" w:cs="arial"/>
          <w:color w:val="000000"/>
          <w:sz w:val="20"/>
          <w:lang w:val="en-US" w:eastAsia="en-US" w:bidi="ar-SA"/>
        </w:rPr>
        <w:t xml:space="preserve">, (1960), 33 W.W.R. 577, </w:t>
      </w:r>
      <w:hyperlink r:id="rId202" w:history="1">
        <w:r>
          <w:rPr>
            <w:rFonts w:ascii="arial" w:eastAsia="arial" w:hAnsi="arial" w:cs="arial"/>
            <w:i/>
            <w:color w:val="0077CC"/>
            <w:sz w:val="20"/>
            <w:u w:val="single"/>
            <w:shd w:val="clear" w:color="auto" w:fill="FFFFFF"/>
            <w:lang w:val="en-US" w:eastAsia="en-US" w:bidi="ar-SA"/>
          </w:rPr>
          <w:t>26 D.L.R. (2d) 529</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Lenoard v. British Columbia Hydro &amp; Power Authority</w:t>
      </w:r>
      <w:r>
        <w:rPr>
          <w:rFonts w:ascii="arial" w:eastAsia="arial" w:hAnsi="arial" w:cs="arial"/>
          <w:color w:val="000000"/>
          <w:sz w:val="20"/>
          <w:lang w:val="en-US" w:eastAsia="en-US" w:bidi="ar-SA"/>
        </w:rPr>
        <w:t xml:space="preserve"> (1964), 50 W.W.R. 546, </w:t>
      </w:r>
      <w:hyperlink r:id="rId203" w:history="1">
        <w:r>
          <w:rPr>
            <w:rFonts w:ascii="arial" w:eastAsia="arial" w:hAnsi="arial" w:cs="arial"/>
            <w:i/>
            <w:color w:val="0077CC"/>
            <w:sz w:val="20"/>
            <w:u w:val="single"/>
            <w:shd w:val="clear" w:color="auto" w:fill="FFFFFF"/>
            <w:lang w:val="en-US" w:eastAsia="en-US" w:bidi="ar-SA"/>
          </w:rPr>
          <w:t>49 D.L.R. (2d) 422</w:t>
        </w:r>
      </w:hyperlink>
      <w:r>
        <w:rPr>
          <w:rFonts w:ascii="arial" w:eastAsia="arial" w:hAnsi="arial" w:cs="arial"/>
          <w:color w:val="000000"/>
          <w:sz w:val="20"/>
          <w:lang w:val="en-US" w:eastAsia="en-US" w:bidi="ar-SA"/>
        </w:rPr>
        <w:t xml:space="preserve"> (Wilson, C.J.S.C.), in which that most distinguished judge said (at p. 548 [W.W.R.]):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now enter into an area in which I must consider subjective as well as objective evidence because both were placed before me without objection by counsel. All physicians must I think, rely to some extent on what their patients tell them. If, for instance, a patient had a pain in his neck and went to a doctor, mum, challenging him to find what, if anything, was the matter with him, then I think that doctor would be in almost as difficult a position as a lawyer would be if all his client told him was that he wanted to sue Tom Jones, and condescended to no further detail. When the doctor relates in court what his patient told him, he may be stating hearsay, but common sense in the courts has long ago rejected the idea that this evidence may not be heard and has accepted the idea that it should be listened to, not because it proves by itself the truth of the thing stated by the patient to the doctor, but because it defines to an extent his area of exploration and, if confirmed by the doctor's objective observations and by the patient's evidence given at the trial, may be convincing. I see no other approach to medical evidence. It is closely allied to the hypothetical question often put to other expert witnesses where the witness is asked: "Well, granting the existence of such and such facts, what is your opinion?" The doctor says he accepted some statements made by his patient as facts and formed an opinion thereon. Such an opinion, I think, is subject to criticism if the patient does not appear as a witness and corroborate the existence at the time of the symptoms alleged to have been described to the doctor. </w:t>
      </w:r>
      <w:r>
        <w:rPr>
          <w:rFonts w:ascii="arial" w:eastAsia="arial" w:hAnsi="arial" w:cs="arial"/>
          <w:color w:val="000000"/>
          <w:sz w:val="20"/>
          <w:u w:val="single"/>
          <w:lang w:val="en-US" w:eastAsia="en-US" w:bidi="ar-SA"/>
        </w:rPr>
        <w:t>Such an opinion, in so far as it relies on the credibility of the patient, is subject to rejection by a judge or jury who, having heard the patient, do not find him credible</w:t>
      </w:r>
      <w:r>
        <w:rPr>
          <w:rFonts w:ascii="arial" w:eastAsia="arial" w:hAnsi="arial" w:cs="arial"/>
          <w:color w:val="000000"/>
          <w:sz w:val="20"/>
          <w:lang w:val="en-US" w:eastAsia="en-US" w:bidi="ar-SA"/>
        </w:rPr>
        <w:t xml:space="preserve">. I do not think they are bound by the doctor's opinion as to credibility but they must pay a considerable regard to it, particularly if it is related to associated objective evidence, such, for instance, as evidence of spasm. But </w:t>
      </w:r>
      <w:r>
        <w:rPr>
          <w:rFonts w:ascii="arial" w:eastAsia="arial" w:hAnsi="arial" w:cs="arial"/>
          <w:color w:val="000000"/>
          <w:sz w:val="20"/>
          <w:u w:val="single"/>
          <w:lang w:val="en-US" w:eastAsia="en-US" w:bidi="ar-SA"/>
        </w:rPr>
        <w:t>I do not see any reason why a judge or jury, having heard the expert and the patient, should not, in a proper case, reject the evidence of the expert on the ground that the patient is not a credible witness and that, therefore, the hypothesis on which the expert gave his opinion is not established, having, of course, the fullest regard to the expertise of the doctor and to any objective evidence he has propounded</w:t>
      </w:r>
      <w:r>
        <w:rPr>
          <w:rFonts w:ascii="arial" w:eastAsia="arial" w:hAnsi="arial" w:cs="arial"/>
          <w:color w:val="000000"/>
          <w:sz w:val="20"/>
          <w:lang w:val="en-US" w:eastAsia="en-US" w:bidi="ar-SA"/>
        </w:rPr>
        <w:t>. If this were not so then judges and juries would be completely bound by the opinions of experts as to credibility, and this cannot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also note the experts largely relied on Mr. Harris' self-reporting of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DIVISION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Review Division, an internal review body at the WCB, considered the mechanism of injury in the WCB accident and found that it did not cause Mr. Harris' lower back complaints. The Review Division found Mr. Harris' lower back strain was not related to the WCB accident. Relying on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the plaintiff argued, mid-trial, that I should admit the Review Division decision determining wage loss benefits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the plaintiff argued that I am not bound by the Review Division's findings, he argued that the decision should be considered. The decision, which has not been appealed, should be accorded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argued that the decision should be given no weight because Ms. Gill was not a party to the WCB proceedings. The defendant further argued that the Review Division decision considered whether Mr. Harris was entitled to WCB benefits, not whether Mr. Harris sustained injuries in the motor vehicle accident. The defendant argued that introducing the decision would be prejudicial to Ms. Gill as she has no ability to test or challenge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replied that to reach a different result than an administrative decision maker, on worse evidence, would be absurd and would call into question the integrity of the administrative decision making structure. This would be an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ruled that Mr. Dennison's decision is not binding on me. I agree with the defendant that the evidence from the other driver involved in the WCB accident, as well as the investigations both employers did after the WCB accident, were not before this Court. In addition, Ms. Gill had no ability to challenge the decision. Therefore, the only use for which the decision should be admitted is as part of the narrative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Before assessing damages, the "plaintiff must establish a causal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plaintiff's] pain":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generally accepted test for causation is the "but for" test: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Causation is found if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Causation is based on a factual determination. The "but for" test does not require scientific evidence. Using common sense may be sufficient: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the seminal decision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the Supreme Court of Canada set out the test for causation at 324, the hallmark of which is "a robust and pragmatic approach to the facts to enable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drawn even though medical or scientific expertise cannot arrive at a definitive conclusion." The causation test does not demand scientific precision and should not be applied too rigidly. While proof of causation will often require expert evidence, common sense applies: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There is a difference between medical and legal causation. In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at 330, the Court articulated this point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therefore essential that the medical experts provide a firm opinion supporting the plaintiff's theory of causation. Medical experts ordinarily determine causation in terms of certainties whereas a lesser standard is demanded by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plaintiff must establish a substantial connection between the tortious conduct and the injury: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 11. However, a robust and pragmatic approach to the "but for" test allows for there to be more than one cause of an injury. Where there is more than one cause of an injury, resulting in an indivisible injury, the plaintiff need only show that the accident contributed to the injury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paras. 9, 50-51. As long at the defendant caused or contributed to the injury in a material way (i.e.,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the defendant is liable: </w:t>
      </w:r>
      <w:r>
        <w:rPr>
          <w:rFonts w:ascii="arial" w:eastAsia="arial" w:hAnsi="arial" w:cs="arial"/>
          <w:i/>
          <w:color w:val="000000"/>
          <w:sz w:val="20"/>
          <w:lang w:val="en-US" w:eastAsia="en-US" w:bidi="ar-SA"/>
        </w:rPr>
        <w:t>Chappell v. Loyie</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2016 BCSC 1722</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When determining causation, I must consider the thin skull and crumbling skull doctrines. The thin skull doctrine requires tortfeasors to take their victims as they find them. If the plaintiff's injury is unexpectedly severe due to a pre-existing condition, the defendant remains liable under the thin skull doctrine: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This is due to the "most basic principle of tort law"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defendant is not liable for damages that were not caused by the injury: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Under the crumbling skull doctrine, a defendant "need not compensate the plaintiff for any debilitating effects of the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Harris was involved in two successive accidents that caused or contributed to his injuries. I am only considering the issues with respect to the motor vehicle accident. I must determine, as a question of fact, what injuries Mr. Harris sustained in the motor vehicle accident and whether the injuries are divisible or indivisible as between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If I find that the injuries are divisible, they are capable of being separated out and the resulting damages must be assessed independently against the defendant and the WCB. The defendant is liable only for the injuries caused by the 2015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If I find that the injuries are indivisible, they cannot be separated out. In such a case, the common law position is that the defendant and the WCB are jointly and severally liable for the entire amount. The defendant and the WCB can seek apportionment from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joint and several approach to indivisible injuries was explained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leave to appeal ref'd </w:t>
      </w:r>
      <w:hyperlink r:id="rId212" w:history="1">
        <w:r>
          <w:rPr>
            <w:rFonts w:ascii="arial" w:eastAsia="arial" w:hAnsi="arial" w:cs="arial"/>
            <w:i/>
            <w:color w:val="0077CC"/>
            <w:sz w:val="20"/>
            <w:u w:val="single"/>
            <w:shd w:val="clear" w:color="auto" w:fill="FFFFFF"/>
            <w:lang w:val="en-US" w:eastAsia="en-US" w:bidi="ar-SA"/>
          </w:rPr>
          <w:t>[2010] S.C.C.A. No. 337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There can be no question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requires joint and several liability for indivisible injuries. Once a trial judge has concluded as a fact that an injury is indivisible, then the tortfeasors are jointly liable to the plaintiff. They can still seek apportionment (contribution and indemnity) from each other, but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can claim the entire amount from any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approach to apportionment in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is therefore no longer applicable to indivisible injuries. The reason is that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pre-supposes </w:t>
      </w:r>
      <w:r>
        <w:rPr>
          <w:rFonts w:ascii="arial" w:eastAsia="arial" w:hAnsi="arial" w:cs="arial"/>
          <w:i/>
          <w:color w:val="000000"/>
          <w:sz w:val="20"/>
          <w:lang w:val="en-US" w:eastAsia="en-US" w:bidi="ar-SA"/>
        </w:rPr>
        <w:t>divisibility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requires courts to take a single injury and divide it up into constituent causes or points in time, and assess damages twice; once on the day before the second tort, and once at trial. Each defendant is responsible only for their share of the injury and the plaintiff can recover only the appropriate portion from each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That approach is logically incompatible with the concept of an </w:t>
      </w:r>
      <w:r>
        <w:rPr>
          <w:rFonts w:ascii="arial" w:eastAsia="arial" w:hAnsi="arial" w:cs="arial"/>
          <w:i/>
          <w:color w:val="000000"/>
          <w:sz w:val="20"/>
          <w:lang w:val="en-US" w:eastAsia="en-US" w:bidi="ar-SA"/>
        </w:rPr>
        <w:t>indivisible</w:t>
      </w:r>
      <w:r>
        <w:rPr>
          <w:rFonts w:ascii="arial" w:eastAsia="arial" w:hAnsi="arial" w:cs="arial"/>
          <w:color w:val="000000"/>
          <w:sz w:val="20"/>
          <w:lang w:val="en-US" w:eastAsia="en-US" w:bidi="ar-SA"/>
        </w:rPr>
        <w:t xml:space="preserve"> injury. If an injury cannot be divided into distinct parts, then joint liability to the plaintiff cannot be apportioned either. It is clear that tortfeasors causing or contributing to a single, indivisible injury are jointly liable to the plaintiff. This in no way restricts the tortfeasors' right to apportionment as between themselves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but it is a matter of indifference to the plaintiff, who may claim the entire amount from any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defendant argued that if the injuries are indivisible, s.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applies. Section 10 provides that injured workers are statute-barred from pursuing tort claims for any injuries arising out of and in the course of employment. These claims are instead adjudicated by the WCB. However, given my findings below, I do not need to deal with this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argues Mr. Harris' lower back injury had not resolved at the time of the WCB accident and that it was not injured in the WCB accident. Therefore it is a divisible injury. The plaintiff further argues that joint and several liability arises because the two accidents caused neck injuries and it is an indivisible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argues that Mr. Harris' lower back pain had resolved prior to the WCB accident. Counsel argued that Mr. Harris' description of his lower back pain as mild and less severe than his neck to his physiotherapist; his ceasing to undergo treatments in the months prior to the WCB accident despite those treatments being available; his failure to take his medications; and his ongoing ability to work physically demanding jobs without any accommodation all establish that Mr. Harris' back pain had resolved prior to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FACTUAL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Both Mr. Gabriel and Mr. Notton, two of Mr. Harris' past employers, testified that he was a good worker and they had no issues with his work performance. This is consistent with Mr. Harris' evidence that he just put his head down and worked. There were no work tasks that he was unable to do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fact that Mr. Harris continued to work after the motor vehicle accident does not answer the question regarding whether he was injured as a result of the accident. For example, Mr. Padvaiskas opined that Mr. Harris is able to do his job because he modified his methods and is able to tolerate pain. He also assumed that Mr. Harris could continue working because he was receiving ongoing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Brownlee noted that the X-ray and MRI show pre-existing degeneration in Mr. Harris' spine and osteoarthritis in the facet joints in his lower back. Dr. Brownlee opined in his report that Mr. Harris has an ongoing disability as a result of the chronic back pain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Brownlee stated that Mr. Harris advised he was able to continue working following the accident, despite his lower back pain, because he was attending physiotherapy, massage therapy, and acupuncture. He also told Dr. Brownlee that he moved to a new job in the spring of 2016 in which no lifting was involved. Lastly, he advised Dr. Brownlee that his symptoms gradually worsened after the WCB accident because he was unable to continue with his normal routine of physiotherapy and chiropractic treatments due to his WCB funding being "cut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I found him to be a credible witness, Dr. Brownlee was provided with an unreliable history. For example, Mr. Harris was not attending physiotherapy, massage therapy, or acupuncture prior to the WCB accident to manage his lower back pain. Mr. Harris told Dr. Brownlee that his lower back pain got worse after the WCB accident because he was unable to attend therapies he had been attending prior to the WCB accident. This was inaccurate. Mr. Harris also told Dr. Brownlee that he was not able to do demanding physical labour after the motor vehicle accident when in fact he was lifting up to 40 pounds at work. These inconsistencies speak to the unreliability of Mr. Harris' testimony. Though no fault of Dr. Brownlee, this misinformation goes to the weight of Dr. Brownlee's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Maclnnes opined that Mr. Harris' lower back pain and right leg complaints were a direct result of the accident. This is consistent with the X-ray and MRI that show pre-existing degeneration in his spine and osteoarthritis in the facet joints in his lower back. Dr. Maclnnes opined that Mr. Harris is likely to continue to suffer from daily pain in some form from this point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Harris advised Dr. MacInnes that he had complaints of right leg numbness up to the time of the WCB accident. In redirect, Dr. MacInnes was taken to clinical records between the motor vehicle accident and the WCB accident that showed limited right leg numbness complaints and indications of grade three sprains to Mr. Harris' lower back. Dr. MacInnes testified that the grade three sprains likely indicate neurological symptoms in the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opinion of Dr. Brownlee and Dr. MacInnes, Mr. Harris' underlying, previously asymptomatic spinal degeneration was triggered by the motor vehicle accident. As Dr. Brownlee testified, since Mr. Harris has had over three years of ongoing pain, it is unlikely to go away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argued that the clinical records were not tendered for their truth, but Mr. Harris told a story consistent with the records. I agree that the clinical records were largely consistent with Mr. Harris' testimony regarding his lower back symptoms, as were the MRI results. However, there were definitely some inconsistencies in Mr. Harris' story and what he told the various medical professionals 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find that Mr. Harris had lower back pain symptoms that radiated into his right leg, headaches, and neck and shoulder discomfort, which were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Harris and Ms. Ferguson testified that Mr. Harris had psychological issues after the motor vehicle accident. I accept that Mr. Harris had trouble sleeping, and was frustrated and irritable following the accident due to his pain. However, there was no medical evidence regarding his depressed mood. I assume that if his mood issues were serious, Mr. Harris would have sought medical assistance. Consequently, I find his mood issues arising from the motor vehicle accident to be real, but relatively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terms of urinary problems and difficulties with intimacy, Mr. Harris did not discuss these issues with his medical practitioners until after the WCB accident. There was no medical evidence linking these complaints to the motor vehicle accident. Perhaps more importantly, Dr. Brownlee commented that he was not persuaded Mr. Harris' urinary difficulties were neurological in origin as there was no evidence of any compression of the sacral nerve roots on the MRIs. Dr. MacInnes opined that Mr. Harris should be referred to a urologist for these problems. Based on the above, I am unable to conclude these issues were related to, or caused by, Mr. Harris' lower back pain and therefore were not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Had Mr. Harris' Injuries Resolved by August 24,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last time Mr. Harris saw Dr. Glenn Anderson prior to the WCB accident was July 21, 2016. Dr. Glenn Anderson's notes indicate that Mr. Harris was getting better slowly, his range of motion was good, and he was having less pain and fewer spasms. In cross-examination, Dr. Glenn Anderson confirmed that the reference to spasms was in relation to Mr. Harris' back, and that his mid to low back pain was his worst symptom.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September 6, 2016, 13 days after the WCB accident, Dr. Glenn Anderson wrote in a report to WorkSafeBC, "MVA December 2015 resolved". Dr. Glenn Anderson did not recall asking Mr. Harris about his pre-WCB accident status but testified that he would have relied on the information provided to him by Mr.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defendant argues that Dr. Glenn Anderson's note in the report is evidence that Mr. Harris' symptoms from the motor vehicle accident had resolved by the time of the WCB accident. The defendant also relied on the Lifemark report of Dr. Struthers. The defendant argued that this is an out-of-court statement by a party to a proceeding which is admissible at the instance of an opposing party for the truth of the statement. Admissions made by one party to litigation are admissible if tendered by the opposing party without resort to a necessity and reliability analysis: </w:t>
      </w:r>
      <w:r>
        <w:rPr>
          <w:rFonts w:ascii="arial" w:eastAsia="arial" w:hAnsi="arial" w:cs="arial"/>
          <w:i/>
          <w:color w:val="000000"/>
          <w:sz w:val="20"/>
          <w:lang w:val="en-US" w:eastAsia="en-US" w:bidi="ar-SA"/>
        </w:rPr>
        <w:t>R. v. Terrico</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2005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must carefully scrutinize this conflicting evidence: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xml:space="preserve"> at paras. 41-44.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Since Dr. Struthers could not remember where he obtained the information that Mr. Harris had fully recovered prior to the WCB accident, I give his report little weight. I also note that the September 6, 2016 clinical records filled out by Dr. Glenn Anderson are not contemporaneous with Mr. Harris' symptoms prior to the WCB accident. They are inconsistent with the clinical notes from July 21, 2016, approximately one month before the WCB accident, which suggest that Mr. Harris had not fully recovered from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Harris' chiropractor sent a report to ICBC dated January 13, 2016 (after the motor vehicle accident and before the WCB accident), recording grade three sprains to Mr. Harris' lower back. Dr. MacInnes testified that complaints of grade three sprains to the lower back likely indicate neurological symptoms in the lower back. Mr. Ford agreed that Mr. Harris had neurological symptoms on May 24, 2016. A chiropractic record from that date reads: "Lumbo-Sacral Strain/Sprain." Dr. Maclnnes writes in his report: "[i]t is my opinion that the accident in August 2016 [the WCB accident] has had little impact on these symptoms as they have remained consistent prior to and after that event." Dr. Brownlee addressed the WCB Accident at section A.4 of his report. He does not attribute the worsening of Mr. Harris' lower back symptoms to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find that the numbness in Mr. Harris' right leg had resolved before the WCB accident. The last complaint of right leg numbness was recorded on January 14, 2016. Although Dr. MacInnes testified that Mr. Harris had ongoing neurological symptoms up to April 4, 2016 that may have been related to his right leg symptoms, he agreed in cross-examination that the clinical records did not assist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Justice Smith addressed the inferences that can and cannot be made from clinical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While the content of a clinical record may be evidence for some purposes, </w:t>
      </w:r>
      <w:r>
        <w:rPr>
          <w:rFonts w:ascii="arial" w:eastAsia="arial" w:hAnsi="arial" w:cs="arial"/>
          <w:color w:val="000000"/>
          <w:sz w:val="20"/>
          <w:u w:val="single"/>
          <w:lang w:val="en-US" w:eastAsia="en-US" w:bidi="ar-SA"/>
        </w:rPr>
        <w:t>the absence of a record is not, in itself, evidence of anything. For example, the absence of reference to a symptom in a doctor's notes of a particular visit cannot be the sole basis for any inference about the existence or non-existence of that symptom</w:t>
      </w:r>
      <w:r>
        <w:rPr>
          <w:rFonts w:ascii="arial" w:eastAsia="arial" w:hAnsi="arial" w:cs="arial"/>
          <w:color w:val="000000"/>
          <w:sz w:val="20"/>
          <w:lang w:val="en-US" w:eastAsia="en-US" w:bidi="ar-SA"/>
        </w:rPr>
        <w:t>. At most, it indicates only that it was not the focus of discussion on that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lack of mention in the clinical records is not the sole basis for my finding that Mr. Harris' leg pain resolved prior to the WCB accident. The ongoing leg pain complaints rely solely on Mr. Harris' self reports after the fact. I have already found that Mr. Harris is not a reliable historian and that I need to scrutinize the evidence carefully. The onus is on Mr. Harris and there is insufficient evidence for me to conclude that he had ongoing leg pain prior to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come to a different conclusion regarding the lower back pain. The evidence of Mr. Harris' mother, girlfriend, and brother-in-law is that Mr. Harris had ongoing lower back pain when he was involved in the WCB accident. This was also the evidence of Dr. Brownlee and Dr. MacInnes. I accept that Mr. Harris had ongoing lower back symptoms as of July 21, 2016, and find it is more likely than not that they continued to August 24, 2016. The lack of clinical records between July 21 and August 24, 2016 simply indicate that Mr. Harris did not seek medical attention for his lower back pain during this time: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therefore persuaded that Mr. Harris continued to have lower back pain at the time of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terms of difficulty sleeping, irritability, and low mood, I already accepted that these were related to Mr. Harris' frustration with his pain following the motor vehicle accident, but were relatively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There was disagreement amongst the experts about whether Mr. Harris suffered from depression as a result of the accident. The defendant argues that I should draw an adverse inference against the plaintiff for failing to serve the medical legal report of Dr. Anderson, a psychiatrist. Mr. Padvaiskas referred to this report in his report. I am not prepared to draw an adverse inference but note that there is no psychiatric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Padvaiskas found Mr. Harris to be severely depressed in February 2019. However, Dr. MacInnes assessed Mr. Harris in July 2018, and found his test results indicated low levels of depression. Moreover, Mr. Padvaiskas noted in his report that Dr. Anderson, the psychiatrist, opined that Mr. Harris has not developed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Not only are these results inconsistent, they do not help me connect any depressed mood to the motor vehicle accident three of four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To the extent that I have accepted low mood following the motor vehicle accident, I do not accept that Mr. Harris' psychological issues persisted up to the time of the WCB accident due to a lack of supporting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WCB accident in August 2016 was more serious than the motor vehicle accident. Mr. Harris was off work for over six months. His primary injuries were neck pain and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Approximately four weeks after the WCB Accident, Mr. Harris' lower back pain and right leg radicular symptoms began to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Brownlee addressed the WCB accident, to which he does not attribute the worsening of Mr. Harris' lower back symptoms, in his report. Dr. Maclnnes writes, "[i]t is my opinion that the accident in August 2016 has had little impact on these symptoms as they have remained consistent prior to and after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have found that all of Mr. Harris' injuries, apart from the lower back pain, resolved prior to the WCB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 find that Mr. Harris' lower back pain is not the result of the WCB accident. Although my conclusion is not dependent on Mr. Dennison's decision, I note that the expert medical evidence before me accords with Mr. Dennison's finding that Mr. Harris' lower back complaints pre-dated and were not caused by the WCB accident. While there may have been some aggravation of his lower back pain by the WCB accident, the contribution did not exceed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As set out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15,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terms of what Mr. Harris can do today, Mr. Harris underwent a functional capacity evaluation ("FCE") where Mr. Padvaiskas observed Mr. Harris in a number of work simulations over most of a day. While there were a number of concerns with the FCE, what was most troubling was Mr. Harris' unwillingness to try to lift five- to ten-pound weights. This contrasts with the heavier loads he handles at work and the heavier weights he regularly lifts when exercising. This goes directly to Mr. Harris'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have accepted that Mr. Harris' lower back pain is likely permanent. However, based on the medical evidence of Dr. MacInnes and Dr. Brownlee, I also accept that there is a real possibility Mr. Harris may benefit from future treatments and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Padvaiskas opined that Mr. Harris is not well-suited to his current occupation because he lacks durability due to his ongoing pain. For the reasons articulated above, Mr. Harris did not persuade me that he is unable to continue working in his current position with the types of accommodations he already employs. However, I accept that his pain will somewhat restrict his future employment options and recreational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Harris developed lower back pain due to the accident. His previously asymptomatic L5 pars defect became symptomatic, causing pain. The pain radiated into his right leg, which became numb while walking. His mood and sleep were negatively impacted to a limited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Harris also suffered from neck and shoulder pain, as well as headaches, due to the accident. His neck and shoulder pain, radiating leg pain, and headaches resolved prior to the WCB accident. Any neck pain, right leg pain, headaches, or mood and sleep issues that Mr. Harris experiences today are unrelated to the motor vehicle accident. His lower back pain is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thin skull doctrine applies in this case. Mr. Harris had pre-existing degenerative issues at the L5-S1 vertebra, but his back was asymptomatic prior to the first accident. I am not persuaded that but for the motor vehicle accident, Mr. Harris would have developed lower back pain. Therefore, the crumbling skull doctrine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Harris' injuries are divisible. The neck injury he sustained in the motor vehicle accident had resolved before he re-injured it in the WCB accident. There was insufficient evidence before me to conclude that Mr. Harris injured his lower back in the WCB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21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Non-pecuniary damages must be fair to all parties; fairness is measured against awards made in comparable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common factors that influence an award of non-pecuniary damages include:</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Justice Dickson (as he then was) stated that an award for non-pecuniary damages does not depend only on the seriousness of the injury, it also depends on the seriousness of the individual's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A fundamental principle of tort law is that, to the extent a monetary award can accomplish it, a plaintiff should be placed in the same position he or she would have been in had the accident not occurred. The plaintiff should not be placed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xml:space="preserve"> at 639-640, Dickson J. held that because non-pecuniary damages do not fulfill the function of compensation, the award under this head of damages should be moderate: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making the award is to substitute other amenities for those that have been lost, not to compensate for the loss of something with a money value. Since the primary function of the law of damages is compensation, it is reasonable that awards for non-pecuniary loss, which do not fulfill this function, should be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parties took me to a number of cases regarding quantum of non-pecuniary damages. I have reviewed the cases and paid particular attention to: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Boyle v. Prentice</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2010 BCSC 1212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Maldonado v. Mooney</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2016 BCSC 558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Sunner v. Rana</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2014 BCSC 1379</w:t>
        </w:r>
      </w:hyperlink>
      <w:r>
        <w:rPr>
          <w:rFonts w:ascii="arial" w:eastAsia="arial" w:hAnsi="arial" w:cs="arial"/>
          <w:color w:val="000000"/>
          <w:sz w:val="20"/>
          <w:lang w:val="en-US" w:eastAsia="en-US" w:bidi="ar-SA"/>
        </w:rPr>
        <w:t xml:space="preserve">. The cases to which the parties referred provide helpful guidance, but each case turns on its own particular circumstances: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at paras. 188-189.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Harris developed lower back pain, which radiated into his right leg, as well as neck and shoulder pain, following the accident. Mr. Harris was frustrated with his circumstances due to his pain. It made it more difficult for him to sleep, resulting in him often feeling exhausted, which in turn affected his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While most of his injuries improved over time, Mr. Harris continues to suffer from lower back pain. Mr. Harris receives regular injections for his lower back pain. The injections allow Mr. Harris to function, but do not provide lasting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Harris has continued to work despite his pain. The impact of Mr. Harris' pain at work has been considerable and has taken its toll. Mr. Harris' stoicism in remaining at work should not negatively impact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Harris' injuries affected his home life. The pain and symptoms suffered by Mr. Harris interfered with his ability to participate in physical activities. He is unable to enjoy time with his girlfriend and her children in the same way he did prior to the accident. Mr. Harris has abandoned many of his pre-motor vehicle accident activities such as kayaking, riding his ATV, camping, and hiking. Mr. Harris has also modified his workout routine and he is unable to vacuum or do the same amount of yard work that he was able to do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Harris is relatively young and has many years ahead of him. He was only 32 years old when the accident occurred. He now faces a lifetime of mild to moderate pain. This period of time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all the circumstances, I find that an award of $80,000 for non-pecuniary damages is appropriate. This award reflects the duration of Mr. Harris' mild to moderate chronic pain, and the irritability and frustration that has arisen from his pain. It also reflects the ongoing costs to Mr. Harris' social and recreational activities, and the significant, if temporary, impairment of his relationship with Ms. Ferguson.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parties have agreed that Mr. Harris' past wage loss totals $747.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leave it to the parties to determine the net value of this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must determine whether, due to his pain, Mr. Harris can durably continue to work in a similar capacity into the future. If he cannot, I must determine to what extent Mr. Harris' future earning capacity has been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determining a claim for loss of future earning capacity, the court must consider two questions. First, has the plaintiff's earning capacity been impaired by his or her injuries? To answer this question in the affirmative, there must be sufficient evidence that there is a real and substantial possibility of future income loss. If so, second, what compensation should be awarded for the resulting financial harm that will accrue over time: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To summarize, "[t]he plaintiff is required to prove a real and substantial possibility of a future event resulting in a loss in order to recover damages for loss of future earning capacity": </w:t>
      </w:r>
      <w:r>
        <w:rPr>
          <w:rFonts w:ascii="arial" w:eastAsia="arial" w:hAnsi="arial" w:cs="arial"/>
          <w:i/>
          <w:color w:val="000000"/>
          <w:sz w:val="20"/>
          <w:lang w:val="en-US" w:eastAsia="en-US" w:bidi="ar-SA"/>
        </w:rPr>
        <w:t>J.J. v. Barton</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2017 BCSC 1196</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Court of Appeal explained that there are two possible approaches to assess loss of future earning capacity: the "earnings approach", as applied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the "capital asset approach", as applied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 Both approaches are correct. The earnings approach is more useful when the loss is more easily measurable. The capital asset approach is more useful when the loss is not as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assessment must be based on the totality of the evidence and take into account both positive and negative contingencies: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at 15 (Ont. C.A.)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cited with approval in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Justice Doherty for the Ontario Court of Appeal stated at 14-15: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and those which have applied them, tell me that contingencies can be placed into two categories: general contingencies which as a matter of human experience are likely to be the common future of all of us,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promotions or sickness; and "specific" contingencies, which are peculiar to a particular plaintiff,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a particularly marketable skill or a poor work record. The former type of contingency is not readily susceptible to evidentiary proof and may be considered in the absence of such evidence. However, where a trial judge directs his or her mind to the existence of these general contingencies, the trial judge must remember that everyone's life has "ups" as well as "downs". A trial judge may, not must, adjust an award for future pecuniary loss to give effect to general contingencies but where the adjustment is premised only on general contingencies, it should be modest.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plaintiff or defendant relies on a specific contingency, positive or negative, that party must be able to point to evidence which supports an allowance for that contingency. The evidence will not prove that the potential contingency will happen or that it would have happened had the tortious event not occurred, but the evidence must be capable of supporting the conclusion that the occurrence of the contingency is a realistic as opposed to a speculative possibility: </w:t>
      </w:r>
      <w:r>
        <w:rPr>
          <w:rFonts w:ascii="arial" w:eastAsia="arial" w:hAnsi="arial" w:cs="arial"/>
          <w:i/>
          <w:color w:val="000000"/>
          <w:sz w:val="20"/>
          <w:lang w:val="en-US" w:eastAsia="en-US" w:bidi="ar-SA"/>
        </w:rPr>
        <w:t>Schrump v. Koot, supra</w:t>
      </w:r>
      <w:r>
        <w:rPr>
          <w:rFonts w:ascii="arial" w:eastAsia="arial" w:hAnsi="arial" w:cs="arial"/>
          <w:color w:val="000000"/>
          <w:sz w:val="20"/>
          <w:lang w:val="en-US" w:eastAsia="en-US" w:bidi="ar-SA"/>
        </w:rPr>
        <w:t>, at p. 559.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When the court assesses damages for loss of future earning capacity, it is "a matter of judgment, not calculation":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at para. 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Has the Plaintiff's Future Earning Capacity been Impaired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plaintiff must establish that there is a real and substantial possibility of a future event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It involves a comparison between Mr. Harris' likely future had the motor vehicle accident not happened and his future after the accident has happened: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Harris testified that he has not been prevented from performing any work tasks in his positions since the motor vehicle accident. Both Mr. Gabriel of Urban Impact and Mr. Notton of NSD Disposal testified that Mr. Harris had no work performance issues and that he could not have completed his assigned work tasks if he had significant injuries. I note that these lay witnesses were not qualified to give the latter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If I apply the capital asset approach, I must consider the factors from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Harris been rendered less capable overall from earning income from all types of employment;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Harris less marketable or attractive as an employee to potential employers;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Harris lost the ability to take advantage of all job opportunities which might otherwise have been open to him;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Harris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Harris is able to work, but he has chronic pain in his lower back. His pain will restrict his employment options into the foreseeable future. He is less marketable and has lost the ability to take advantage of all job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While I am satisfied that Mr. Harris meets all four of the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 xml:space="preserve"> factors, I find his restrictions to be mild. This is based on his reported pain, his ability to work approximately 60 to 70 hours per week post-accident, his ability to come home and work out, and the possibility that treatments could improve his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Quantification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extent to which Mr. Harris' future earning capacity has been impacted by his lower back pain is the primary issue before me. Mr. Harris' temporary physical limitations and mood issues that arose from the motor vehicle accident are reflected in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Harris seeks $300,000 to $450,000 under this head of damages, whereas the defendant argues that Mr. Harris is not entitled to any compensation for loss of future earning capacity. In the alternative, the defendant argues Mr. Harris is entitled to one year of his annual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found that Mr. Harris has ongoing, mild to moderate lower back pain. I am persuaded he will be able to continue to work in his current position, albeit with some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Mr. Harris has a good work ethic and attitude. He has continued working by pushing through his pain. I have found that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Harris will likely have permanent physical limitations. At a minimum, his lower back pain will continue to present difficulties for him in the foreseeable future and will somewhat restrict his employment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This Court must to take into account various contingencies, both positive and negative. One specific positive contingency is that Mr. Harris may benefit from rhizotomies or surgery as suggested by Dr. Brownlee. Although Mr. Harris has not undertaken further testing to determine if his pain is from the L5-S1 lumbar-facet joint, either of these treatments could reduce his symptoms. The evidence of future treatments resulting in reduced symptoms is a real possibility and not merely speculative. Another specific positive contingency is that Mr. Harris works at Aggressive Transport and has been there since February 2017. His employer considers him to be a good employee and he could be promoted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negative contingency I need to take into account is that Mr. Harris may have to reduce his hours when he ages if his injury does not heal over time. He may be forced to retire earlier than the general retirement age of 65 if his durability becomes more of an issue as he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plaintiff requests that I use the capital asset approach. The approach proposed by the plaintiff was used by the court recently in </w:t>
      </w:r>
      <w:r>
        <w:rPr>
          <w:rFonts w:ascii="arial" w:eastAsia="arial" w:hAnsi="arial" w:cs="arial"/>
          <w:i/>
          <w:color w:val="000000"/>
          <w:sz w:val="20"/>
          <w:lang w:val="en-US" w:eastAsia="en-US" w:bidi="ar-SA"/>
        </w:rPr>
        <w:t>Chau v. Pereira</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2019 BCSC 809</w:t>
        </w:r>
      </w:hyperlink>
      <w:r>
        <w:rPr>
          <w:rFonts w:ascii="arial" w:eastAsia="arial" w:hAnsi="arial" w:cs="arial"/>
          <w:color w:val="000000"/>
          <w:sz w:val="20"/>
          <w:lang w:val="en-US" w:eastAsia="en-US" w:bidi="ar-SA"/>
        </w:rPr>
        <w:t>. Justice Baird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...[T]here is no doubt that the accident has caused a material diminution in the plaintiff's earning capacity as a capital asset for which he is entitled to compensation, notwithstanding that he still works at his preaccident job and enjoys the support of his company. I am persuaded that with the accident-related decline in the plaintiff's productivity, he will qualify for only baseline annual pay rises and bonuses, whereas he was previously located in the mid-range of the company's system of entitlement. I also think it inevitable that he will have to retire from employment earlier than planned due to advancing physical incapacity, perhaps by as much as three years. Bearing in mind all of these factors, as well as the usual positive and negative contingencies, I hereby assess the plaintiff's award under this heading at $240,000.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agree that a capital assessment approach is appropriate because Mr. Harris' loss is not easily quantifiable.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Mr. Harris' without accident working capacity is 29 years, assuming he retires at age 65. The net present value multiplier from </w:t>
      </w:r>
      <w:r>
        <w:rPr>
          <w:rFonts w:ascii="arial" w:eastAsia="arial" w:hAnsi="arial" w:cs="arial"/>
          <w:i/>
          <w:color w:val="000000"/>
          <w:sz w:val="20"/>
          <w:lang w:val="en-US" w:eastAsia="en-US" w:bidi="ar-SA"/>
        </w:rPr>
        <w:t>CIVJI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Jury Instructions</w:t>
      </w:r>
      <w:r>
        <w:rPr>
          <w:rFonts w:ascii="arial" w:eastAsia="arial" w:hAnsi="arial" w:cs="arial"/>
          <w:color w:val="000000"/>
          <w:sz w:val="20"/>
          <w:lang w:val="en-US" w:eastAsia="en-US" w:bidi="ar-SA"/>
        </w:rPr>
        <w:t>, 2nd ed. (Vancouver: Continuing Legal Education Society of British Columbia, 2009) ("CIVJI") for 29 years is 23.3761, using a discount rate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Harris made approximately $85,000 in 2018. If one uses his 2018 income as a reference point for his future earning capacity, and applies the net present value multiplier found in CIVJI of 23.3761, then Mr. Harris' without accident earning capacity is $1,986,969. A 10% reduction in earning capacity would be approximately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Taking all the above factors into consideration, including the positive and negative contingencies, I believe Mr. Harris faces less than a 10% loss of future earning capacity. I cannot determine his loss earning capacity with precision. In all the circumstances, I believe an award of $150,000 is fair and reasonable to reflect the present value of Mr. Harris'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Court of Appeal addressed the loss of housekeeping capacity. The court discussed the difference between a pecuniary award for loss of housekeeping capacity and the inclusion of damages as part of general award for non-pecuniary damages. The court's conclusion is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Harris can do most housekeeping chores, albeit with some pain. Based on the above principles, I conclude that Mr. Harris' loss of housekeeping capacity is in keeping with a loss of amenities. I have therefore included his loss of housekeeping capacity in the award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 plaintiff is entitled to compensation for costs of future care for the harm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These costs are based on what is reasonably necessary to restore Mr. Harris to his pre-accident condition, according to the medical evidence, and to preserve and promote his physical and mental health: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29-30, citing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legal principles regarding the costs of future care were summarized by Justice Voith in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[157] The test for determining the appropriate award for the costs of future care is an objective one based on medical evidence. For an award of future care: 1) there must be a medical justification for claims for costs of future care; and 2)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84 (S.C.), aff'd </w:t>
      </w:r>
      <w:hyperlink r:id="rId23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231"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while addressing the assessment of costs of future care, Chief Justice McLachlin confirmed that courts rely on "evidence as to what care is likely to be in the injured person's best interest", and that the measure of such care is "objective, based on the evidence". That same test was recently reaffirmed in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at para. 51, </w:t>
      </w:r>
      <w:hyperlink r:id="rId232" w:history="1">
        <w:r>
          <w:rPr>
            <w:rFonts w:ascii="arial" w:eastAsia="arial" w:hAnsi="arial" w:cs="arial"/>
            <w:i/>
            <w:color w:val="0077CC"/>
            <w:sz w:val="20"/>
            <w:u w:val="single"/>
            <w:shd w:val="clear" w:color="auto" w:fill="FFFFFF"/>
            <w:lang w:val="en-US" w:eastAsia="en-US" w:bidi="ar-SA"/>
          </w:rPr>
          <w:t>31 B.C.L.R. (5th) 78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The following additional legal principles govern an award for future care costs: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Awards for costs of future care must be reasonable, both in the sense of being medically required and in the sense of being costs that, on the evidence, the plaintiff will be likely to incur; see </w:t>
      </w:r>
      <w:r>
        <w:rPr>
          <w:rFonts w:ascii="arial" w:eastAsia="arial" w:hAnsi="arial" w:cs="arial"/>
          <w:i/>
          <w:color w:val="000000"/>
          <w:sz w:val="20"/>
          <w:lang w:val="en-US" w:eastAsia="en-US" w:bidi="ar-SA"/>
        </w:rPr>
        <w:t>Loeppky v. Insurance Corporation of British Columbia</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2012 BCSC 7</w:t>
        </w:r>
      </w:hyperlink>
      <w:r>
        <w:rPr>
          <w:rFonts w:ascii="arial" w:eastAsia="arial" w:hAnsi="arial" w:cs="arial"/>
          <w:color w:val="000000"/>
          <w:sz w:val="20"/>
          <w:lang w:val="en-US" w:eastAsia="en-US" w:bidi="ar-SA"/>
        </w:rPr>
        <w:t xml:space="preserve"> at para.109.</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weight to be given to an opinion on future care will depend on the extent to which recommendations for items like psychological counselling and physiotherapy are supported by the evidence of experts within the relevant field of expertise: see, for example, </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at para. 191, </w:t>
      </w:r>
      <w:hyperlink r:id="rId234" w:history="1">
        <w:r>
          <w:rPr>
            <w:rFonts w:ascii="arial" w:eastAsia="arial" w:hAnsi="arial" w:cs="arial"/>
            <w:i/>
            <w:color w:val="0077CC"/>
            <w:sz w:val="20"/>
            <w:u w:val="single"/>
            <w:shd w:val="clear" w:color="auto" w:fill="FFFFFF"/>
            <w:lang w:val="en-US" w:eastAsia="en-US" w:bidi="ar-SA"/>
          </w:rPr>
          <w:t>1 B.C.L.R. (4th) 131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2010 BCSC 1764</w:t>
        </w:r>
      </w:hyperlink>
      <w:r>
        <w:rPr>
          <w:rFonts w:ascii="arial" w:eastAsia="arial" w:hAnsi="arial" w:cs="arial"/>
          <w:color w:val="000000"/>
          <w:sz w:val="20"/>
          <w:lang w:val="en-US" w:eastAsia="en-US" w:bidi="ar-SA"/>
        </w:rPr>
        <w:t xml:space="preserve"> at para. 98, costs of future care award varied on appeal </w:t>
      </w:r>
      <w:hyperlink r:id="rId23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the trial judge erred in concluding that "future care costs are payable whether or not they may be incurred in the future" (para. 68).</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of future care costs should be reasonable and the award must be moderate and fair to both parties; see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241 - 242.</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Common sense should inform claims for the costs of future care, however much they may be recommended by experts in the field; see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 13, </w:t>
      </w:r>
      <w:hyperlink r:id="rId238" w:history="1">
        <w:r>
          <w:rPr>
            <w:rFonts w:ascii="arial" w:eastAsia="arial" w:hAnsi="arial" w:cs="arial"/>
            <w:i/>
            <w:color w:val="0077CC"/>
            <w:sz w:val="20"/>
            <w:u w:val="single"/>
            <w:shd w:val="clear" w:color="auto" w:fill="FFFFFF"/>
            <w:lang w:val="en-US" w:eastAsia="en-US" w:bidi="ar-SA"/>
          </w:rPr>
          <w:t>17 B.C.L.R. (5th) 244</w:t>
        </w:r>
      </w:hyperlink>
      <w:r>
        <w:rPr>
          <w:rFonts w:ascii="arial" w:eastAsia="arial" w:hAnsi="arial" w:cs="arial"/>
          <w:color w:val="000000"/>
          <w:sz w:val="20"/>
          <w:lang w:val="en-US" w:eastAsia="en-US" w:bidi="ar-SA"/>
        </w:rPr>
        <w: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any particular item of future care, the test is whether a reasonable person of ample means would incur the expense; see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1999 CanLII 6932 at para. 78, </w:t>
      </w:r>
      <w:hyperlink r:id="rId239"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 is requesting future care costs for facet joint rhizotomies, as suggested by Dr. Brownlee. He estimates the cost of the treatment to be between $50,000 and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problem with this claim is that it assumes Mr. Harris' pain is a result of an irritation to the right L5 nerve root. While both Dr. Brownlee and Dr. MacInnes suspect that his pain is from the L5-S1 lumbar facet joints, they suggest diagnostic testing to confirm the origin of his lower back pain. I find it telling that Mr. Harris' pain is alleviated when he receives injections into his facet joints, but of course this provides no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Given that Mr. Harris did not undergo the testing to determine if his pain is definitely caused by the lumbar facet joints, I award $30,000 for this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fundamental principle governing special damages is that of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The plaintiff is to be restored to the position he or she would have been in had the accident not occurred: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MacIntosh v. Davison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2013 BCSC 2264</w:t>
        </w:r>
      </w:hyperlink>
      <w:r>
        <w:rPr>
          <w:rFonts w:ascii="arial" w:eastAsia="arial" w:hAnsi="arial" w:cs="arial"/>
          <w:color w:val="000000"/>
          <w:sz w:val="20"/>
          <w:lang w:val="en-US" w:eastAsia="en-US" w:bidi="ar-SA"/>
        </w:rPr>
        <w:t>, Justice Davies held the following applies to the analysis of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Having reviewed all of the authorities to which I was referred, I have concluded that Saunders J.'s decision in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xml:space="preserve"> encapsulates the considerations which should bear upon the assessment of Mr. MacIntosh's special damages claims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In summary, I am satisfied that when assessing special damages the standard is the reasonableness of the expense claimed in the context of the injuries suffered. Medical justification for any expense is a factor to be considered, but not the only one. Subjective factors can also be considered including whether the plaintiff believed the treatments were reasonably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Harris must establish that the costs of treatments and expenses he has incurred, and now seeks compensation for, are justified. He must establish that the money was expended on reasonable treatments that are linked to the injuries that arose as a result of the motor vehicle accident. He must also establish that the price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After reviewing the evidence, I am satisfied that the following expenses were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587"/>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with Fereidoun Shahretani</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$1,155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Acupuncture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$646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with Aldergrove Physio (50%)</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MRI of the lumbar and thoracic spine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$2,296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Medical Note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Parking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Medications (not including Viagra)</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$533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Mileage at $0.50 per kilometer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the parties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calculate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total for special damages is $5,488 plus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$747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$5,488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plus mileage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Subject to relevant offers to settle, the plaintiff is entitled to costs. If the parties are unable to agree, within 45 days of this judgment either party is at liberty to file an application to determine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MacDONALD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J.P. v. British Columbia (Director of Child, Family and Community Services), [2013] B.C.J. No. 604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S118923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604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515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J.P. and as Litigation Guardian for BT.G., K.G., BN.G. and P.G., Plaintiff, and The Director of Child, Family and Community Services and Her Majesty the Queen in right of the Province of British Columbia, Defendants, and B.G.,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2" w:name="Keywords_12"/>
      <w:bookmarkEnd w:id="82"/>
      <w:r>
        <w:rPr>
          <w:rFonts w:ascii="arial" w:eastAsia="arial" w:hAnsi="arial" w:cs="arial"/>
          <w:b/>
          <w:color w:val="000000"/>
          <w:sz w:val="20"/>
          <w:lang w:val="en-US" w:eastAsia="en-US" w:bidi="ar-SA"/>
        </w:rPr>
        <w:t>Legal profession — Judges — Disqualification or removal — Bias, reasonable apprehension of — Participation in prior proceedings — Application by third party for disqualification of presiding judge dismissed — Judge presided over first trial in which third party was found to have abused three children, with risk of harm to fourth justifying sole custody and restraining order in favour of plaintiff — In second trial, plaintiff sought damages from Crown on basis third party abused fourth child during access visit while child was in Crown's care — No reasonable apprehension of bias established, as second trial's allegations involved different time frame without overlapping evidence from first trial — No indication of impartiality in conduct of first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Independence — Professions — Legal — Judges — Application by third party for disqualification of presiding judge dismissed — Judge presided over first trial in which third party was found to have abused three children, with risk of harm to fourth justifying sole custody and restraining order in favour of plaintiff — In second trial, plaintiff sought damages from Crown on basis third party abused fourth child during access visit while child was in Crown's care — No reasonable apprehension of bias established, as second trial's allegations involved different time frame without overlapping evidence from first trial — No indication of impartiality in conduct of first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3" w:name="Case Summary_11"/>
            <w:bookmarkEnd w:id="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party, BG, for disqualification of the presiding judge on the basis of bias. The plaintiff was formerly married to the third party. She sought damages against the provincial Crown for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own behalf and on behalf of her four children. A portion of the claim alleged that the youngest child was sexually assaulted by the third party while the four children were in the custody of the Director of Child, Family and Community Services. No claim was advanced against the third party by the plaintiff. The Crown added the third party in respect of the allegation of sexual abuse of the youngest child. The third party submitted that the judge should disqualify himself on the basis of a reasonable apprehension of bias based on earlier reasons for judgment finding that the third party had sexually abused three of his eldest children, and that the youngest child was at risk if the third party was permitted access. The reasons were issued in the course of blended family law and child apprehension proceedings that occurred in 2010. The third party had contended the allegations of abuse were fabricated by the plaintiff. The judge found otherwise, and awarded the plaintiff sole custody and guardianship with a restraining order against the third party.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4" w:name="Holdings of Court_8"/>
            <w:bookmarkEnd w:id="8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reasonable apprehension of bias was established. The findings from the first trial related to the allegations of the sexual abuse of the youngest child did not directly touch upon the issues to be determined at the second trial. The allegations involved a different incident, with no overlap in the timeframe or the evidence from the first trial. The comments in the first trial concerning the third party's risk to re-offend were made in the context of determining access and to justify issuance of a restraining order. No definitive finding was made concerning whether the third party had done anything improper during unsupervised access visits. The reasoning did not demonstrate a closed mind, as it was determined there was insufficient evidence to support a finding of abuse of the youngest child. It was not established that there would be any partiality in the determination of the merits of the second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5" w:name="Counsel_12"/>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J.J. Hittrich.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Third Party: B.G. appearing in person, on his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12"/>
      <w:bookmarkEnd w:id="86"/>
      <w:r>
        <w:pict>
          <v:line id="_x0000_s1089" style="position:absolute;z-index:2517739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28, 2013;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P.W. WALKER J."/>
            <w:bookmarkEnd w:id="87"/>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this application, B.G., the third party, says that I should disqualify myself from sitting as the trial judge on the basis that there is a reasonable apprehension of bias arising from my earlier reasons for judgment, in which I found that he had sexually abused three of his eldest children, BT.G., K.G., and BN.G., and that the youngest child, P.G., was at risk of sexual abuse if B.G. was permitted access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J.P. seeks damages from the defendant, Her Majesty the Queen in right of the Province of British Columbia ("HMTQ"), for alleged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claim is brought for herself and the four children of her former marriage with B.G. Although her claim is brought against HMTQ, it is essentially against the Director of Child, Family and Community Services ("Director"). The Attorney General is defending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One part of J.P.'s claim against HMTQ includes an allegation that while her four children were in the custody of the Director, the youngest child, P.G., was sexually abused by B.G. J.P. and B.G. separated in October 2009. The children resided with J.P. until the Director apprehended them at the end of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J.P. has not advanced a claim for relief against B.G. as a defendant in this proceeding. HTMQ added B.G. as a third party in respect of the foregoing allegation made by J.P. about sexual abuse to P.G. while she was in the care of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turning to a discussion of the facts in this case, I will consider the legal principles applicable to determining disqualification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Mallory</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2007 ONCA 46</w:t>
        </w:r>
      </w:hyperlink>
      <w:r>
        <w:rPr>
          <w:rFonts w:ascii="arial" w:eastAsia="arial" w:hAnsi="arial" w:cs="arial"/>
          <w:color w:val="000000"/>
          <w:sz w:val="20"/>
          <w:lang w:val="en-US" w:eastAsia="en-US" w:bidi="ar-SA"/>
        </w:rPr>
        <w:t>, the Ontario Court of Appeal described the concept of impartiality and laid out the test for assessing reasonable apprehension of bias claims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[318] The test for assessing a reasonable apprehension of bias claim is whether an informed person, viewing the manner realistically and practically and having thought the matter through, would think that the decision-maker would not decide the matter fairly. The test requires a two-part analysis of objectivity: the person considering the alleged bias must be reasonable and invested with knowledge of all of the relevant circumstances, including judicial traditions of integrity and impartiality, and the apprehension of bias itself must be reasonable based on what is observed: see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(1997), 118 C.C.C. (3d) 353</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Committee for Justice and Liberty v. National Energy Board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[1978] 1 S.C.R. 369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Gushman</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[1994] O.J. No. 813</w:t>
        </w:r>
      </w:hyperlink>
      <w:r>
        <w:rPr>
          <w:rFonts w:ascii="arial" w:eastAsia="arial" w:hAnsi="arial" w:cs="arial"/>
          <w:color w:val="000000"/>
          <w:sz w:val="20"/>
          <w:lang w:val="en-US" w:eastAsia="en-US" w:bidi="ar-SA"/>
        </w:rPr>
        <w:t xml:space="preserve"> (Gen. Div.).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[319] The concept of judicial impartiality requires that the trial judge approach the case with an open mind, meaning that he or she is open to persuasion. As the Supreme Court of Canada said in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35, adopting the words of the Canadian Judicial Council in </w:t>
      </w:r>
      <w:r>
        <w:rPr>
          <w:rFonts w:ascii="arial" w:eastAsia="arial" w:hAnsi="arial" w:cs="arial"/>
          <w:i/>
          <w:color w:val="000000"/>
          <w:sz w:val="20"/>
          <w:lang w:val="en-US" w:eastAsia="en-US" w:bidi="ar-SA"/>
        </w:rPr>
        <w:t>Commentaries on Judicial Conduct</w:t>
      </w:r>
      <w:r>
        <w:rPr>
          <w:rFonts w:ascii="arial" w:eastAsia="arial" w:hAnsi="arial" w:cs="arial"/>
          <w:color w:val="000000"/>
          <w:sz w:val="20"/>
          <w:lang w:val="en-US" w:eastAsia="en-US" w:bidi="ar-SA"/>
        </w:rPr>
        <w:t xml:space="preserve"> (Cowansville, QC.: Editions Yvon Blais, 1991) at 12, "True impartiality does not require that the judge have no sympathies or opinions; it requires that the judge nevertheless be free to entertain and act upon different points of view with an open mind."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Public confidence in our justice system is rooted in the impartiality of the judiciary. Those who adjudicate the law must always do so without bias or prejudice and, crucially, must also be perceived to do so. As the Supreme Court of Canada noted in the leading case of </w:t>
      </w:r>
      <w:r>
        <w:rPr>
          <w:rFonts w:ascii="arial" w:eastAsia="arial" w:hAnsi="arial" w:cs="arial"/>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2003 SCC 45</w:t>
        </w:r>
      </w:hyperlink>
      <w:r>
        <w:rPr>
          <w:rFonts w:ascii="arial" w:eastAsia="arial" w:hAnsi="arial" w:cs="arial"/>
          <w:color w:val="000000"/>
          <w:sz w:val="20"/>
          <w:lang w:val="en-US" w:eastAsia="en-US" w:bidi="ar-SA"/>
        </w:rPr>
        <w:t xml:space="preserve"> at para. 59, impartiality is the fundamental qualification of a judge and the core attribute of the judiciary. Allegations that a judgment may be tainted by bias or by a reasonable apprehension of bias are "most serious", as they call into question the impartiality of the Court and its members and raise doubt on the public's perception of the Court's ability to render justice according to law: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Given the great importance of impartiality to our legal system, it is strongly presumed that judges act with integrity and that they carry out the duties that they have sworn to uphold: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xml:space="preserve"> at paras. 2, 76; </w:t>
      </w:r>
      <w:r>
        <w:rPr>
          <w:rFonts w:ascii="arial" w:eastAsia="arial" w:hAnsi="arial" w:cs="arial"/>
          <w:i/>
          <w:color w:val="000000"/>
          <w:sz w:val="20"/>
          <w:lang w:val="en-US" w:eastAsia="en-US" w:bidi="ar-SA"/>
        </w:rPr>
        <w:t>Sandhu v. Household Realty Corporation Limited</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BCCA 133</w:t>
        </w:r>
      </w:hyperlink>
      <w:r>
        <w:rPr>
          <w:rFonts w:ascii="arial" w:eastAsia="arial" w:hAnsi="arial" w:cs="arial"/>
          <w:color w:val="000000"/>
          <w:sz w:val="20"/>
          <w:lang w:val="en-US" w:eastAsia="en-US" w:bidi="ar-SA"/>
        </w:rPr>
        <w:t xml:space="preserve"> at para. 20. The law does not "carelessly evoke the possibility of bias in a judge, whose authority depends upon that presumption":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Accordingly, the threshold to establish partiality is high. An allegation of bias without any factual support will not result in the disqualification of a judge. The grounds for apprehension must be substantial: </w:t>
      </w:r>
      <w:r>
        <w:rPr>
          <w:rFonts w:ascii="arial" w:eastAsia="arial" w:hAnsi="arial" w:cs="arial"/>
          <w:i/>
          <w:color w:val="000000"/>
          <w:sz w:val="20"/>
          <w:lang w:val="en-US" w:eastAsia="en-US" w:bidi="ar-SA"/>
        </w:rPr>
        <w:t>Committee for Justice and Liberty v. National Energy Board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[1978] 1 S.C.R. 369</w:t>
        </w:r>
      </w:hyperlink>
      <w:r>
        <w:rPr>
          <w:rFonts w:ascii="arial" w:eastAsia="arial" w:hAnsi="arial" w:cs="arial"/>
          <w:color w:val="000000"/>
          <w:sz w:val="20"/>
          <w:lang w:val="en-US" w:eastAsia="en-US" w:bidi="ar-SA"/>
        </w:rPr>
        <w:t xml:space="preserve"> at 395. Mere suspicion of partiality is not enough: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112. "Something more" is required: </w:t>
      </w:r>
      <w:r>
        <w:rPr>
          <w:rFonts w:ascii="arial" w:eastAsia="arial" w:hAnsi="arial" w:cs="arial"/>
          <w:i/>
          <w:color w:val="000000"/>
          <w:sz w:val="20"/>
          <w:lang w:val="en-US" w:eastAsia="en-US" w:bidi="ar-SA"/>
        </w:rPr>
        <w:t>R. v. Novak</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(1995), 59 B.C.A.C. 152</w:t>
        </w:r>
      </w:hyperlink>
      <w:r>
        <w:rPr>
          <w:rFonts w:ascii="arial" w:eastAsia="arial" w:hAnsi="arial" w:cs="arial"/>
          <w:color w:val="000000"/>
          <w:sz w:val="20"/>
          <w:lang w:val="en-US" w:eastAsia="en-US" w:bidi="ar-SA"/>
        </w:rPr>
        <w:t xml:space="preserve"> at para. 7. Overall, it must be demonstrated with cogent evidence that the informed, reasonable and right-minded person would conclude that it is more likely than not that the judge would not fairly try the case: </w:t>
      </w:r>
      <w:r>
        <w:rPr>
          <w:rFonts w:ascii="arial" w:eastAsia="arial" w:hAnsi="arial" w:cs="arial"/>
          <w:i/>
          <w:color w:val="000000"/>
          <w:sz w:val="20"/>
          <w:lang w:val="en-US" w:eastAsia="en-US" w:bidi="ar-SA"/>
        </w:rPr>
        <w:t>R. v. Melnichuk</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2004 BCCA 332</w:t>
        </w:r>
      </w:hyperlink>
      <w:r>
        <w:rPr>
          <w:rFonts w:ascii="arial" w:eastAsia="arial" w:hAnsi="arial" w:cs="arial"/>
          <w:color w:val="000000"/>
          <w:sz w:val="20"/>
          <w:lang w:val="en-US" w:eastAsia="en-US" w:bidi="ar-SA"/>
        </w:rPr>
        <w:t xml:space="preserve"> at paras.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Furthermore, as the Federal Court of Appeal recently explained in </w:t>
      </w:r>
      <w:r>
        <w:rPr>
          <w:rFonts w:ascii="arial" w:eastAsia="arial" w:hAnsi="arial" w:cs="arial"/>
          <w:i/>
          <w:color w:val="000000"/>
          <w:sz w:val="20"/>
          <w:lang w:val="en-US" w:eastAsia="en-US" w:bidi="ar-SA"/>
        </w:rPr>
        <w:t>Collins v. Canada</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2011 FCA 171</w:t>
        </w:r>
      </w:hyperlink>
      <w:r>
        <w:rPr>
          <w:rFonts w:ascii="arial" w:eastAsia="arial" w:hAnsi="arial" w:cs="arial"/>
          <w:color w:val="000000"/>
          <w:sz w:val="20"/>
          <w:lang w:val="en-US" w:eastAsia="en-US" w:bidi="ar-SA"/>
        </w:rPr>
        <w:t xml:space="preserve"> at para. 11, that even though a judge has rendered a prior judgment that was unfavourable to a party, it cannot and should not necessarily be concluded that the judge will not act impartially in subsequent proceedings. Rather, a reasonable apprehension of bias "must be shown to exist either in the judgment itself, in the comportment of the judge or by some other means": </w:t>
      </w:r>
      <w:r>
        <w:rPr>
          <w:rFonts w:ascii="arial" w:eastAsia="arial" w:hAnsi="arial" w:cs="arial"/>
          <w:i/>
          <w:color w:val="000000"/>
          <w:sz w:val="20"/>
          <w:lang w:val="en-US" w:eastAsia="en-US" w:bidi="ar-SA"/>
        </w:rPr>
        <w:t>Collins</w:t>
      </w:r>
      <w:r>
        <w:rPr>
          <w:rFonts w:ascii="arial" w:eastAsia="arial" w:hAnsi="arial" w:cs="arial"/>
          <w:color w:val="000000"/>
          <w:sz w:val="20"/>
          <w:lang w:val="en-US" w:eastAsia="en-US" w:bidi="ar-SA"/>
        </w:rPr>
        <w:t xml:space="preserve"> at para. 11. See also: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That an apprehension of bias does not automatically arise out of prior adverse rulings is equally true in civil and criminal proceedings. Further, the fact that a judge made adverse findings of credibility against a party in earlier proceedings is not necessarily indicative of actual bias; nor does it necessarily provide grounds for finding a reasonable apprehension of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the accused was charged with two counts of assault arising out of two separate incidents. The same provincial judge heard both trials consecutively. He found Mr. Novak guilty on both counts. On appeal, Mr. Novak argued that the judge should have recused himself from hearing the second trial on the basis that he had made adverse findings of credibility against Mr. Novak in the first trial. Alternatively, Mr. Novak said that even if the judge could disabuse himself of the evidence from the first trial and could decide the issues in the second trial based solely on the evidence led in that trial, there was a reasonable apprehension of bias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of Appeal rejected Mr. Novak's position. In dismissing the appeal, at para. 7, the court stated:</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a trial judge has ruled adversely in a previous case on the credibility of either a defence witness or the accused does not necessarily result in a reasonable apprehension of bias. </w:t>
      </w:r>
      <w:r>
        <w:rPr>
          <w:rFonts w:ascii="arial" w:eastAsia="arial" w:hAnsi="arial" w:cs="arial"/>
          <w:color w:val="000000"/>
          <w:sz w:val="20"/>
          <w:u w:val="single"/>
          <w:lang w:val="en-US" w:eastAsia="en-US" w:bidi="ar-SA"/>
        </w:rPr>
        <w:t>Something more is required showing a predisposition by the adjudicator with respect to the accused's credibility, such as to amount to pre-judgment of the result of the second hearing.</w:t>
      </w:r>
      <w:r>
        <w:rPr>
          <w:rFonts w:ascii="arial" w:eastAsia="arial" w:hAnsi="arial" w:cs="arial"/>
          <w:color w:val="000000"/>
          <w:sz w:val="20"/>
          <w:lang w:val="en-US" w:eastAsia="en-US" w:bidi="ar-SA"/>
        </w:rPr>
        <w:t xml:space="preserve"> (See, for example,</w:t>
      </w:r>
      <w:r>
        <w:rPr>
          <w:rFonts w:ascii="arial" w:eastAsia="arial" w:hAnsi="arial" w:cs="arial"/>
          <w:i/>
          <w:color w:val="000000"/>
          <w:sz w:val="20"/>
          <w:lang w:val="en-US" w:eastAsia="en-US" w:bidi="ar-SA"/>
        </w:rPr>
        <w:t xml:space="preserve"> Re Arthur and Minister of Employment and Immigration</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(1992), 98 D.L.R. (4th) 254</w:t>
        </w:r>
      </w:hyperlink>
      <w:r>
        <w:rPr>
          <w:rFonts w:ascii="arial" w:eastAsia="arial" w:hAnsi="arial" w:cs="arial"/>
          <w:color w:val="000000"/>
          <w:sz w:val="20"/>
          <w:lang w:val="en-US" w:eastAsia="en-US" w:bidi="ar-SA"/>
        </w:rPr>
        <w:t xml:space="preserve"> (F.C.A.).) In this case, that "something more" is lacking.</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E.G. Ewaschuk, </w:t>
      </w:r>
      <w:r>
        <w:rPr>
          <w:rFonts w:ascii="arial" w:eastAsia="arial" w:hAnsi="arial" w:cs="arial"/>
          <w:i/>
          <w:color w:val="000000"/>
          <w:sz w:val="20"/>
          <w:lang w:val="en-US" w:eastAsia="en-US" w:bidi="ar-SA"/>
        </w:rPr>
        <w:t>Criminal Pleadings &amp; Practice in Canada</w:t>
      </w:r>
      <w:r>
        <w:rPr>
          <w:rFonts w:ascii="arial" w:eastAsia="arial" w:hAnsi="arial" w:cs="arial"/>
          <w:color w:val="000000"/>
          <w:sz w:val="20"/>
          <w:lang w:val="en-US" w:eastAsia="en-US" w:bidi="ar-SA"/>
        </w:rPr>
        <w:t xml:space="preserve">, 2nd ed., looseleaf (Aurora: Canada Law Book, 2013) at pp. 26-30 to 26-31; </w:t>
      </w:r>
      <w:r>
        <w:rPr>
          <w:rFonts w:ascii="arial" w:eastAsia="arial" w:hAnsi="arial" w:cs="arial"/>
          <w:i/>
          <w:color w:val="000000"/>
          <w:sz w:val="20"/>
          <w:lang w:val="en-US" w:eastAsia="en-US" w:bidi="ar-SA"/>
        </w:rPr>
        <w:t>R. v. Kochan</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2001 ABQB 346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Finally, the determination of whether a judge acted partially or not in certain circumstances is highly fact-specific. As the Supreme Court of Canada put it in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xml:space="preserve"> at para. 77, there are no "textbook instances" or "shortcuts". All of the facts that allegedly provide grounds for disqualification must be addressed carefully in light of the entire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foregoing governing principles were conveniently summarized by our Court of Appeal in </w:t>
      </w:r>
      <w:r>
        <w:rPr>
          <w:rFonts w:ascii="arial" w:eastAsia="arial" w:hAnsi="arial" w:cs="arial"/>
          <w:i/>
          <w:color w:val="000000"/>
          <w:sz w:val="20"/>
          <w:lang w:val="en-US" w:eastAsia="en-US" w:bidi="ar-SA"/>
        </w:rPr>
        <w:t>Taylor Ventures Ltd. (Trustee of) v. Taylor</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2005 BCCA 350</w:t>
        </w:r>
      </w:hyperlink>
      <w:r>
        <w:rPr>
          <w:rFonts w:ascii="arial" w:eastAsia="arial" w:hAnsi="arial" w:cs="arial"/>
          <w:color w:val="000000"/>
          <w:sz w:val="20"/>
          <w:lang w:val="en-US" w:eastAsia="en-US" w:bidi="ar-SA"/>
        </w:rPr>
        <w:t xml:space="preserve"> at para. 7,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impartiality is presumed;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arguing for disqualification must establish that the circumstances justify a finding that the judge must be disqualified;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criterion of disqualification is the reasonable apprehension of bias;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is what would an informed, reasonable and right-minded person, viewing the matter realistically and practically, and having thought the matter through, conclude;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for disqualification is not satisfied unless it is proved that the informed, reasonable and right-minded person would think that it is more likely than not that the judge, whether consciously or unconsciously, would not decide fairly;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requires demonstration of serious grounds on which to base the apprehension;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case must be examined contextually and the inquiry is fact-specific.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these principles in mind, I now turn to a discussion of the background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proceeding arises from a high-conflict matrimonial case brought in this Court in late 2009 involving allegations of sexual and physical abuse, and from an apprehension proceeding subsequently brought by the Director in the Provincial Court of British Columbia in early 2010. The trial of the proceedings in this Court and the hearing of the apprehension were ultimately heard together. I was the trial Judge. I also sat as a Judge of the Provincial Court pursuant to an order of this Court that was made on October 8, 2010 by Master Caldwell with the consent of the Director and J.P. The order was unopposed by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J.P. alleged that B.G. sexually abused all four of their children during their marriage up until when they separated and he left the matrimonial home in October 2009. B.G. denied these charges. He said that she fabricated these sexual abuse allegations and that she was mentally incapacitated and unfit to parent. A trial was held to determine, among other things, three main issues, namely, whether: (a) B.G. sexually abused any of the children during the period before they separated in October 2009; (b) J.P. was mentally incapacitated and thus unfit to parent; and (c) B.G. should have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reasons for judgment indexed at </w:t>
      </w:r>
      <w:hyperlink r:id="rId259" w:history="1">
        <w:r>
          <w:rPr>
            <w:rFonts w:ascii="arial" w:eastAsia="arial" w:hAnsi="arial" w:cs="arial"/>
            <w:i/>
            <w:color w:val="0077CC"/>
            <w:sz w:val="20"/>
            <w:u w:val="single"/>
            <w:shd w:val="clear" w:color="auto" w:fill="FFFFFF"/>
            <w:lang w:val="en-US" w:eastAsia="en-US" w:bidi="ar-SA"/>
          </w:rPr>
          <w:t>2012 BCSC 938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I found that B.G. had sexually abused the three eldest children (but not P.G.), exposed his children to inappropriate sexualized knowledge, and physically assaulted them and J.P. I determined that J.P. was not mentally incapacitated and granted her sole guardianship and sole custody of the children. I ordered that B.G. be restrained from having any direct or indirect contact with J.P. and the children and that he not have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second trial is set to begin on April 8, 2013. As I have stated, the case arises from a notice of civil claim filed by J.P., in her personal capacity and as litigation guardian for all four children, in which she alleges that B.G. sexually abused the children when he had unsupervised access to them while they were under the care of the Director. The Director apprehended the children at the end of December 2009 and returned them to J.P. in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J.P.'s claims against the Director were not pursued during the first trial. J.P. and the Director, who participated in the first trial, agreed that any claims against it would be addressed in a separate trial. Moreover, although counsel for J.P. expressed concern during the first trial that the Director had allowed B.G. to have unsupervised access to the children, no allegation was made or any evidence adduced that he had sexually abused his fourth and youngest child, P.G. while she was in the Director's care. It is a more recent allegation made after the present proceeding was commenced and is the subject of J.P.'s amendments to her notice of civil claim filed November 21,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17, 2012, well before J.P. made any allegation before the Court about B.G.'s sexual abuse of P.G. while in the Director's care, there was discussion between counsel for J.P., the Attorney General, and the Court about the manner in which the evidence and findings of fact from the first trial could be used in the trial of the present proceeding. B.G. had not yet been added as a third party. Based on those discussions, which are found at pp. 97-99 of the transcript of the proceedings, I ordered that J.P. provide notice to the Attorney General if she intended to rely upon any of the evidence adduced in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Furthermore, although I did not make an order, I expressed my view that I would be loath to see the Attorney General seek to re-litigate in the second trial the three main issues determined at the first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Basis of B.G.'s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Based on my findings of fact in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B.G. argues that I should disqualify myself from hearing the second trial. He says that I have all but decided that P.G. was sexually abused during the time frame at issue in the second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B.G.'s submissions may be summarized as follows: having determined that he sexually abused three of his four children before he separated from J.P. in October 2009 and that P.G. was at risk of sexual abuse if he had further access to her, I am predisposed to find that he sexually abused P.G. He takes particular issue with what I said in paras. 94 and 462-463 of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In his submission, the strong and definitive language that I used in those paragraphs demonstrates that I have nearly decided his fate in the second trial. Or, in his words, it will not take much to "push me over the edge" and conclude that he sexually abused P.G.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B.G. further argues that there remain serious grounds for a reasonable apprehension of bias even though I did not find that he sexually abused P.G. He calls this a "judicial formality". He contends that although I did not conclude that he sexually abused P.G. - that is, on a balance of probabilities, based on a review of all the evidence adduced at trial - I essentially provided my view that he had done so. He submits that in these circumstances, a reasonable person, having read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would conclude that it is more likely than not that I am not entering the second trial with an open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J.P. opposes B.G.'s application. Although it previously agreed that I should sit as trial judge in the second action, the Attorney General, on behalf of the Director, takes no position on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do not accede to B.G.'s position. I am satisfied that an informed, reasonable and right-minded person, viewing the matter realistically and practically, and having thought the matter through, would not conclude on the totality of the circumstances that I, consciously or unconsciously, will not decide the issues in the second trial unfairly.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First, even if all my findings from the first trial may be relied upon at the second trial, my findings relating to the allegations of sexual abuse of P.G. do not directly touch upon the issues to be determined at the second trial. The allegations of sexual abuse from the first trial are different from those to be addressed in the second trial. There is no overlap in the time frame, and no evidence relating to these additional allegations was adduced at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Second, my comments relating to B.G.'s likelihood to reoffend and the risk of abuse that P.G. faced were made in the context of determining whether B.G. should have access to the children (since the focus must be whether "real risk" to the children exists from access: </w:t>
      </w:r>
      <w:r>
        <w:rPr>
          <w:rFonts w:ascii="arial" w:eastAsia="arial" w:hAnsi="arial" w:cs="arial"/>
          <w:i/>
          <w:color w:val="000000"/>
          <w:sz w:val="20"/>
          <w:lang w:val="en-US" w:eastAsia="en-US" w:bidi="ar-SA"/>
        </w:rPr>
        <w:t>G.E.C. v. M.B.A.C.</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[1993] B.C.J. No. 1393</w:t>
        </w:r>
      </w:hyperlink>
      <w:r>
        <w:rPr>
          <w:rFonts w:ascii="arial" w:eastAsia="arial" w:hAnsi="arial" w:cs="arial"/>
          <w:color w:val="000000"/>
          <w:sz w:val="20"/>
          <w:lang w:val="en-US" w:eastAsia="en-US" w:bidi="ar-SA"/>
        </w:rPr>
        <w:t xml:space="preserve"> (S.C.), cited at para. 25 of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xml:space="preserve">). These findings only went so far as to justify ordering a restraining order against B.G. I did not make any definitive statement about whether B.G. had, in fact, done anything improper during his unsupervised access visits. Nor did I muse on the probability of any misconduct or abuse. These comments were not "wrongful or inappropriate declarations showing a state of mind that sways judgment in order to succeed": </w:t>
      </w:r>
      <w:r>
        <w:rPr>
          <w:rFonts w:ascii="arial" w:eastAsia="arial" w:hAnsi="arial" w:cs="arial"/>
          <w:i/>
          <w:color w:val="000000"/>
          <w:sz w:val="20"/>
          <w:lang w:val="en-US" w:eastAsia="en-US" w:bidi="ar-SA"/>
        </w:rPr>
        <w:t>Arsenault-Cameron v. Prince Edward Island</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[1999] 3 S.C.R. 851</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Third, and still viewing the impugned comments in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xml:space="preserve"> in context, contrary to B.G.'s position, my reasoning in coming to the conclusions in those paragraphs demonstrates an open mind, not a closed one. B.G.'s arguments on this application suggest an underlying apprehension that I will decide the case based on similar fact and character evidence. I did not take that approach in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nor can it be inferred that I did. I concluded that there was insufficient evidence to prove, on a balance of probabilities, that B.G. sexually abused P.G. In all, I considered the following evidence: that P.G. could provide no statement; that her sexualized behaviour and remarks, though troubling, could be caused by her contact with her older siblings; that her older sister's statement describing sexual abuse to P.G. could not be relied upon to make a finding of sexual abuse, especially given the gravity of the allegations; and that the medical records provided insufficient grounds to establish that P.G. was sexually abused.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impugned comments that B.G. points to in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xml:space="preserve"> do not provide a proper foundation for finding a reasonable apprehension of bias. At the first trial, J.P. was required to adduce evidence to establish on a balance of probabilities that B.G. sexually abused all of his children, which she failed to do. My determination was not a "judicial formality" as B.G. contends; rather, it was a conclusion that I reached after a fair and fulsome review of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Aside from paras. 94 and 462-463 of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xml:space="preserve">, B.G. has not directed me to any other comments in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xml:space="preserve"> that may provide grounds for finding a reasonable apprehension of bias. Nor has he raised any concerns over how I conducted the first trial. It follows from the case law that even though I made adverse findings against B.G. at the first trial, it does not follow that I should be disqualified from hearing subsequent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Accordingly, B.G. has failed to demonstrate the serious grounds required to rebut the strong presumption of impartiality. Without sound reason, in my view, to allow B.G. to unilaterally determine that I cannot hear the second trial would bring the administration of justice into disrepute: </w:t>
      </w:r>
      <w:r>
        <w:rPr>
          <w:rFonts w:ascii="arial" w:eastAsia="arial" w:hAnsi="arial" w:cs="arial"/>
          <w:i/>
          <w:color w:val="000000"/>
          <w:sz w:val="20"/>
          <w:lang w:val="en-US" w:eastAsia="en-US" w:bidi="ar-SA"/>
        </w:rPr>
        <w:t>De Cotiis et al v. De Cotiis et al.</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2004 BCSC 117</w:t>
        </w:r>
      </w:hyperlink>
      <w:r>
        <w:rPr>
          <w:rFonts w:ascii="arial" w:eastAsia="arial" w:hAnsi="arial" w:cs="arial"/>
          <w:color w:val="000000"/>
          <w:sz w:val="20"/>
          <w:lang w:val="en-US" w:eastAsia="en-US" w:bidi="ar-SA"/>
        </w:rPr>
        <w:t xml:space="preserve"> at para. 10. Courts should not encourage litigants to make unsubstantiated allegations in order to force the disqualification of a judge who ruled unfavourably against them, or to "taint" the proceedings with an air of bias: </w:t>
      </w:r>
      <w:r>
        <w:rPr>
          <w:rFonts w:ascii="arial" w:eastAsia="arial" w:hAnsi="arial" w:cs="arial"/>
          <w:i/>
          <w:color w:val="000000"/>
          <w:sz w:val="20"/>
          <w:lang w:val="en-US" w:eastAsia="en-US" w:bidi="ar-SA"/>
        </w:rPr>
        <w:t>Johnson v. WCB</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2008 BCSC 1386</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Finally, as this Court has cautioned in the past, judges must not yield to every angry objection of disgruntled litigants. Judges have the duty to hear cases that come before them, and the important rights of the other litigants in the action are not to be sacrificed merely to assuage the anxieties of unhappy parties: </w:t>
      </w:r>
      <w:r>
        <w:rPr>
          <w:rFonts w:ascii="arial" w:eastAsia="arial" w:hAnsi="arial" w:cs="arial"/>
          <w:i/>
          <w:color w:val="000000"/>
          <w:sz w:val="20"/>
          <w:lang w:val="en-US" w:eastAsia="en-US" w:bidi="ar-SA"/>
        </w:rPr>
        <w:t>Middelkamp v. Fraser Valley Real Estate Board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[1993] B.C.J. No. 2965</w:t>
        </w:r>
      </w:hyperlink>
      <w:r>
        <w:rPr>
          <w:rFonts w:ascii="arial" w:eastAsia="arial" w:hAnsi="arial" w:cs="arial"/>
          <w:color w:val="000000"/>
          <w:sz w:val="20"/>
          <w:lang w:val="en-US" w:eastAsia="en-US" w:bidi="ar-SA"/>
        </w:rPr>
        <w:t xml:space="preserve"> at paras. 24-26, aff'd </w:t>
      </w:r>
      <w:hyperlink r:id="rId265" w:history="1">
        <w:r>
          <w:rPr>
            <w:rFonts w:ascii="arial" w:eastAsia="arial" w:hAnsi="arial" w:cs="arial"/>
            <w:i/>
            <w:color w:val="0077CC"/>
            <w:sz w:val="20"/>
            <w:u w:val="single"/>
            <w:shd w:val="clear" w:color="auto" w:fill="FFFFFF"/>
            <w:lang w:val="en-US" w:eastAsia="en-US" w:bidi="ar-SA"/>
          </w:rPr>
          <w:t>(1993), 83 B.C.L.R. (2d) 257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J.P. failed to prove that B.G. sexually abused P.G. at the first trial. At the second trial, she will have to adduce evidence and prove, on a balance of probabilities, that B.G. sexually abused P.G. while she was in the care of the Director. I will approach the second trial with the same open mind, judging the case on its merits and applying the law impartially.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judge should not withdraw from a case without substantial grounds to support an allegation of bias. Here, B.G. has not provided sufficient grounds. He has a mere suspicion of partiality, and nothing more. It would be inappropriate for me to recuse myself under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B.G.'s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28,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Walker dated March 26, 2013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reasons for judgment were edited at para. 28 to edit the name of an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Kaigo Retirement Communities Ltd. v. Sawchuk Developments Co., [2014] B.C.J. No. 2450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15,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No. VLC-S-S-106910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2450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1858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2898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245 A.C.W.S. (3d) 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64 C.P.C. (7th) 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Kaigo Retirement Communities Ltd., Plaintiff, and Sawchuk Developments Co. Ltd., Okanagan Fire Protection Services Ltd., Okanagan Plumbing &amp; Gasfitting Ltd., McDonell Quiring Neumann, Chapman Mechanical Ltd., Darren Wattie, Technovation Engineering Ltd., ABC Co. #1-5 and John Doe #1-5, Defendants, and Okanagan Fire Protection Services Ltd., Okanagan Plumbing &amp; Gasfitting Ltd., McDonell Quiring Neumann, Chapman Mechanical Ltd., Darren Wattie, Technovation Engineering Ltd., ABC Co. #1-5 and John Doe #1-5,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1"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8" w:name="Keywords_13"/>
      <w:bookmarkEnd w:id="88"/>
      <w:r>
        <w:rPr>
          <w:rFonts w:ascii="arial" w:eastAsia="arial" w:hAnsi="arial" w:cs="arial"/>
          <w:b/>
          <w:color w:val="000000"/>
          <w:sz w:val="20"/>
          <w:lang w:val="en-US" w:eastAsia="en-US" w:bidi="ar-SA"/>
        </w:rPr>
        <w:t>Civil litigation — Civil procedure — General principles — Legislation — Interpretation — Rules — Discovery — Production and inspection of documents — Reports and records — Reports of experts — Application by plaintiff to exclude defendants' expert evidence dismissed — Plaintiff did not dispute witness's qualifications to give opinion evidence on standard of care, but argued this was report of first instance not served within 84 days under Rule 11-6(3) — Defendants' report was filed as response to plaintiff's expert report — That defendants' application to strike standard of care opinion from plaintiff's report was successful did not render defendants' report one of first instance and to do so would be overly technical and contrary to objectives of fairness — Report did not draw conclusions on ultimate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Opinion evidence — Expert evidence — Admission of reports — Inadmissible opinions — Ultimate issue rule — Application by plaintiff to exclude defendants' expert evidence dismissed — Plaintiff did not dispute witness's qualifications to give opinion evidence on standard of care, but argued this was report of first instance not served within 84 days under Rule 11-6(3) — Defendants' report was filed as response to plaintiff's expert report — That defendants' application to strike standard of care opinion from plaintiff's report was successful did not render defendants' report one of first instance and to do so would be overly technical and contrary to objectives of fairness — Report did not draw conclusions on ultimate issue.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9" w:name="Case Summary_12"/>
            <w:bookmarkEnd w:id="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exclude expert evidence tendered by the defendants. The witness was a professional engineer with a Master's degree in fire protection engineering and experience as a design engineer for sprinklers, fire alarm design and systems, and consulted on building code compliance and worked daily with letters of assurance. The witness was tendered as an expert qualified to give opinion evidence on both standard of care of a registered professional regarding design and field review of fire suppression systems as required by letters of assurance, and standards under NFPA 13. The plaintiff did not object to the witness's experience but argued the report was served out of time. The report was served as a response to the plaintiff's report at least 42 days before trial as required by Rule 11-6(4). However, the plaintiff argued redactions to its own report rendered the defendants' report one of first instance, requiring it to be served at least 84 days before trial pursuant to Rule 11-6(3). The plaintiff also argued the report drew conclusions on the ultimate issue, and unsupported and unnecessary conclusions.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0" w:name="Holdings of Court_9"/>
            <w:bookmarkEnd w:id="9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the plaintiff served its expert report, the defendants filed objections and served this report in response. This report addressed matters contained in the plaintiff's report, and the standard of care required by the defendants was clearly put in issue by the plaintiff's pleadings. The defendants were successful in having standard of care evidence struck from the plaintiff's expert report. This report was only one of first instance if Rule 11-6 was read out of context. The plaintiff's approach was overly technical and inconsistent with the fairness objective of the Rules. The plaintiff did not claim to be prejudiced by the admission of the report. Neither counsel could have predicted the outcome of the defendants' objection with certainty, the outcome being that the plaintiff was left without expert evidence on standard of care. These circumstances were not caused by the defendants' conduct and the defendants should not be punished for succeeding on their objections. To grant the relief sought by the plaintiff would be to retroactively transform the purpose of the defendants' report. The report did not draw direct conclusions on the ultimate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The report as a whole was admissible.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1" w:name="Legislation Cited_4"/>
      <w:bookmarkEnd w:id="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2"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11-6(3), Rule 11-6(4), Rule 11-7(6)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2" w:name="Counsel_13"/>
      <w:bookmarkEnd w:id="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3"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 Kim, B.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Okanagan Fire Protection: D. Lewthwaite.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Sawchuk Developments: W.G.Neen, L.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Technovation and Darren Wattie: V. Reakes.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Okanagan Plumbing: R.G. Boswall.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13"/>
      <w:bookmarkEnd w:id="93"/>
      <w:r>
        <w:pict>
          <v:line id="_x0000_s1094"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4" w:name="N. SHARMA J. (orally)"/>
            <w:bookmarkEnd w:id="94"/>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my ruling with respect to the admissibility of an expert report dated June 26, 2014, by Mr. Chow tendered by the defendants Technovation and Darren Wattie.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reserve the right to make grammatical and stylistic changes, and add references to this ruling if necessary but the substance of the reasoning and conclusion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purposes of this ruling only, I refer to Technovation and Mr. Wattie as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Chow has been a professional engineer working for Gage-Babcock &amp; Associates for almost 30 years. He has a Master's degree in fire protection engineering and was designated a fellow of Engineers Canada in 2008. He is a professional practice technical reviewer for the Association of Professional Engineers and Geoscientists ("APEG") of British Columbia for members of fire protection and system design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also conducts technical reviews of APEG members regarding professional disciplinary matters, and is involved in the creation of bylaws published in 2013 by APEG. He teaches a course at UBC on fire protection. He is qualified to stand in the shoes of a municipality with respect to aspects of building inspections. The list of his major projects included on his CV reveals extensive and deep experience with the design of fire alarm detection and monitoring, field surveys, designs, specification, field review, and contract management for fire protection systems for hospitals and other major infrastructure buildings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His work history includes years as a design engineer for sprinklers, fire alarm design, fire alarm systems and consulting on building code compliance for major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Throughout those years he remains involved in the specific design and field reviews of sprinkler systems specifically for compliance with National Fire Protection Association standards for the installation of fire sprinkler systems (known as NFPA 13). He works daily with letters of assurance respecting fire suppression under the BC Building Code, including schedules B1 (Assurance of Professional Design and Commitment of Field Review), B2 (Summary of Design and Field Review Requirements) and C-B (Assurance of Professional Field Review and Compliance), and he has provided professional advice to a municipality about what is specifically required by the items detailed in the letter of assurance for fire suppression.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short, Mr. Chow has impressive credentials based on his education, professional training and experience relating to design of fire suppression systems, and the requirements of field reviews and compliance with both the Building Code and NFPA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was tendered as an expert qualified to give opinion evidence on both the standard of care of a registered professional regarding the design and field review of fire suppression systems as required by the letters of assurance, and with respect to standards under NFPA 13. The plaintiff did not object to this statement being an accurate description of his expertise. Instead, the plaintiff objects to the admissibility of the report on two bases. I address each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First, the plaintiff relies on Rule 11-6(3) which requires any expert report to be served 84 days before the scheduled trial date if a party intends to tender the report at trial. The plaintiff points out this requirement applies to all parties, and is the time limit for what counsel refer to as a report of "first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11-6(4) governs service of a report responding to a "first instance" report and stipulates it must be served 42 days before the start of the trial. Mr. Chow's report met this deadline but not the 84-day limit. The plaintiff says Mr. Chow's report is a report of first instance, was not served in time and ought not to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Of course, the 84-day limit is not unimpeachable. It is clear under both the current and former rules that notwithstanding the time limits contained in Rule 11-6, the Court retains discretion to admit expert evidence despite non-compliance with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Conversely, the Court also has the discretion stemming from its inherent jurisdiction to refuse to admit evidence even if it does comply procedurally with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Rule 11-7(6) states: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the court may allow an expert to provide evidence, on terms and conditions, if any, even though one or more of the requirements of this part have not been complied with, if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have come to the knowledge of one or more of the parties and those facts could not, with due diligence have been learned in time to be included in the report or supplementary report, and served within the time required by this Part,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non-compliance is unlikely to cause prejudice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an inability to prepare for cross-examination,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depriving the party against whom the evidence is tendered of a reasonable opportunity to tender evidence in response,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justice require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These factors are disjunctive so meeting any one of them is sufficient: </w:t>
      </w:r>
      <w:r>
        <w:rPr>
          <w:rFonts w:ascii="arial" w:eastAsia="arial" w:hAnsi="arial" w:cs="arial"/>
          <w:i/>
          <w:color w:val="000000"/>
          <w:sz w:val="20"/>
          <w:lang w:val="en-US" w:eastAsia="en-US" w:bidi="ar-SA"/>
        </w:rPr>
        <w:t>Perry v. Vargas</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2012 BCSC 1537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issue only arose during the course of the trial. When Mr. Brox's report was served on the parties the defendants gave notice that they objected to its contents. The defendants said some opinions in Mr. Brox's report exceeded his expertise and other portions encroached on the function of the trial judge with regard to conclusions of fact and/or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Chow's report was served in response to Mr. Brox's report. Mr. Chow addresses matters contained in Mr. Brox's report including matters over which the defendants raised an objection. However, the defendants' position is that unlike Mr. Brox, Mr. Chow does have the required qualifications to opine on some of those topics to which it objected under the plaintiff's report. After hearing submissions of counsel I ordered redactions of some portions of the report but accepted Mr. Brox as an expert qualified to opine on certain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says those redactions now render portions of Mr. Chow's report to be "first instance" expert evidence. That expert evidence was not served within 84 days and ought not to be admitted. The plaintiff submits it was open to the defendants to serve Mr. Chow's report within the 84 days and that they took a risk in deciding not to do so and instead offer his report in response to Mr. Brox.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standard of care required of the defendants is clearly put into issue by the pleadings. But the defendants say the plaintiff ought not to get an evidentiary advantage because of the defendants' successful objection to the plaintiff's expert's opinion on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amended notice of claim alleges the defendants breached the standard of care as engineering consultants and then lists at paragraph 27 details of the breaches. The two most relevant ones are failing to exercise requisite care, skill and diligence and competence as professional engineers, failing to ensure installation was done in accordance with the industry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say regardless of the issue having been clearly identified in the pleadings, the important point is the plaintiff bears the evidentiary and legal burden to prove a failure to meet the standard of care. In that light the defendants say it is no way improper for them to have only submitted this expert report in response because the focus and nature of their expert evidence would depend on the case they had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advised me there is not case law on point for this particular issue. I am therefore guided only by the purposes of these rules which ultimately place a burden on me to ensure a fair trial for all parties. With regard to the specific issues presented here I am mindful that "[t]he very purpose of [former] Rule40A(2) is to prevent ambush and surprise at trial, ensure fairness to the parties, and promote the orderly progression of the trial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Critchley</w:t>
      </w:r>
      <w:r>
        <w:rPr>
          <w:rFonts w:ascii="arial" w:eastAsia="arial" w:hAnsi="arial" w:cs="arial"/>
          <w:color w:val="000000"/>
          <w:sz w:val="20"/>
          <w:lang w:val="en-US" w:eastAsia="en-US" w:bidi="ar-SA"/>
        </w:rPr>
        <w:t xml:space="preserve"> (1996) </w:t>
      </w:r>
      <w:hyperlink r:id="rId274" w:history="1">
        <w:r>
          <w:rPr>
            <w:rFonts w:ascii="arial" w:eastAsia="arial" w:hAnsi="arial" w:cs="arial"/>
            <w:i/>
            <w:color w:val="0077CC"/>
            <w:sz w:val="20"/>
            <w:u w:val="single"/>
            <w:shd w:val="clear" w:color="auto" w:fill="FFFFFF"/>
            <w:lang w:val="en-US" w:eastAsia="en-US" w:bidi="ar-SA"/>
          </w:rPr>
          <w:t>1996 CanLII 8448</w:t>
        </w:r>
      </w:hyperlink>
      <w:r>
        <w:rPr>
          <w:rFonts w:ascii="arial" w:eastAsia="arial" w:hAnsi="arial" w:cs="arial"/>
          <w:color w:val="000000"/>
          <w:sz w:val="20"/>
          <w:lang w:val="en-US" w:eastAsia="en-US" w:bidi="ar-SA"/>
        </w:rPr>
        <w:t xml:space="preserve"> (BCSC) at paragraph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Also on that point, I note the decision of Madam Justice Fenlon, </w:t>
      </w:r>
      <w:r>
        <w:rPr>
          <w:rFonts w:ascii="arial" w:eastAsia="arial" w:hAnsi="arial" w:cs="arial"/>
          <w:i/>
          <w:color w:val="000000"/>
          <w:sz w:val="20"/>
          <w:lang w:val="en-US" w:eastAsia="en-US" w:bidi="ar-SA"/>
        </w:rPr>
        <w:t>Shariatmadari v. Ahmadi</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2009 BCSC 1569</w:t>
        </w:r>
      </w:hyperlink>
      <w:r>
        <w:rPr>
          <w:rFonts w:ascii="arial" w:eastAsia="arial" w:hAnsi="arial" w:cs="arial"/>
          <w:color w:val="000000"/>
          <w:sz w:val="20"/>
          <w:lang w:val="en-US" w:eastAsia="en-US" w:bidi="ar-SA"/>
        </w:rPr>
        <w:t>, in which she reasoned that while abridging the time for service may result in a more difficult case for a party to have to meet, that, on its own, is not the kind of prejudice that warrants the exclusion of an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admit the report into evidence based on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the plaintiff may be correct that the evidence of Mr. Chow on the standard of care is, in a technical sense, a first instance report that is only if I read Rule 11-6 and look at the facts before me out of context. But in my view it is not reasonable when applying the Rules of Court (especially in a novel situation) to ignore the realities -- acknowledged by all parties -- as to how this issue arose. In my view, the plaintiff's approach would lead to an overly-technical interpretation that is not in keeping with the overriding duty of the court, embodied in the Rules, to ensure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properly admits that it is not prejudiced by the admission of the report in the sense of being ambushed or not having had notice of the evidence. Counsel informed me that their discussions and correspondence before the trial confirm the general admissibility of expert evidence on standard of care was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difficulty is that no counsel could predict with certainty that the Court would accede to the defendants' objections regarding Mr. Brox's report. My ruling redacting portions of his report does place the plaintiff in the position of not having an expert opinion on standard of care supportive of its case. However that does not constitute prejudice in the sense contemplated by the case law or indeed by the Rules themselves. What has happened in this case simply illustrates the risk inherent in all litigation when parties must make important choices of strategy in how to present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These circumstances were not caused by the defendants' conduct. The plaintiff does not argue it was, but the impact of granting the relief it seeks would be, in a way, to punish the defendants because they succeeded in their objection to the plaintiff's expert. That result surely cannot be in keeping with the fair conduct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grant the relief sought by the plaintiff, I would essentially be transforming -- retroactively -- Mr. Chow's expert report into a first instance report rather than a responsive purely for the purpose of subjecting it to a different time limit that excludes its admission into evidence. It may be that is appropriate in some case where true prejudice could be established, but that is not the case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any event, even if prejudice was established, I am not sure the correct approach would be exclusion. Given Rule 11-7(6), it is open to a party to apply to adduce additional evidence to address any prejudice it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also suggested the situation here is akin to a plaintiff serving the report within the 84-day rule, but then choosing not to tender it at trial. That is probably true but I do not see why the same factors I have discussed already would not also apply. Obviously the judge in such a case would have to weigh all the circumstances and exercise judicial discretion about admission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Parties do not -- simply by serving and tendering -- determine the admissibility of an expert report. It is always the trial judge's function and duty to adjudicate the admissibility of expert evidence. It cannot be the case that strategic choices of parties and the particular sequencing of events in a case, necessarily result in the expulsion of evidence that is otherwise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Expert evidence is only admissible upon the Court being satisfied it meets all the legal requirements. Given that, all parties take certain risks in deciding what expert evidence to adduce and whether to adduce it at first instance or in response. Ultimately the admission is going to be governed by legal rules regarding this ability as judicially determined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Of course, the Rules are of primary importance regarding the procedures for service, tendering, notice and production of expert reports. But in my view, my analysis and conclusion is consistent with the overall purposes of the Rules. For all those reasons, I do not accede to the plaintiff's objection regarding the time limit for the admission of Mr. Chow's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Secondly, the plaintiff also objects to portions of the report being admitted on other grounds. I refer to and rely on the ruling that I gave yesterday for the legal principles governing the admissibility of expert evidence. However, I add one clarification to that Ruling. As I understand the law, the objection that an expert opinion goes to the ultimate issue to be decided by the trial judge is not, on its very own, a basis to exclude the evidence. Justice Sopinka explains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therefore, it appears from the foregoing that expert evidence which advances a novel scientific theory or technique is subjected to special scrutiny to determine whether it meets a basic threshold of reliability and whether it is essential in the sense that the trier of fact will be unable to come to a satisfactory conclusion without the assistance of the expert. The closer the evidence approaches an opinion on an ultimate issue, the stricter the application of this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also refer to a helpful article written by Richard Shekter dated May 3, 2012, titled "Expert Witnesses: Preparing and Challenging Expert Witnesses At Trial" by the Law Society of Manitoba. At page 20, after citing the preceding quote, Mr. Shekter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arose again in the Supreme Court of Canada in the case of </w:t>
      </w:r>
      <w:r>
        <w:rPr>
          <w:rFonts w:ascii="arial" w:eastAsia="arial" w:hAnsi="arial" w:cs="arial"/>
          <w:i/>
          <w:color w:val="000000"/>
          <w:sz w:val="20"/>
          <w:lang w:val="en-US" w:eastAsia="en-US" w:bidi="ar-SA"/>
        </w:rPr>
        <w:t>R. v. D.R</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[1996] 2 S.C.R. 291</w:t>
        </w:r>
      </w:hyperlink>
      <w:r>
        <w:rPr>
          <w:rFonts w:ascii="arial" w:eastAsia="arial" w:hAnsi="arial" w:cs="arial"/>
          <w:color w:val="000000"/>
          <w:sz w:val="20"/>
          <w:lang w:val="en-US" w:eastAsia="en-US" w:bidi="ar-SA"/>
        </w:rPr>
        <w:t xml:space="preserve"> a case involving an allegation of child abuse by a father involving a number of children. At the trial, a defence expert who had been qualified in the area of child development and characteristics of child abuse, intended to proffer an opinion based upon the theory that the children's memories were "learned" rather than actually "recalled". The trial judge ultimately sustained an objection by the Crown, holding that the expert would not be permitted to testify as to his conclusions on the reliability of the children's memories.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Major J., speaking for the majority on this issue, held that the evidence ought properly to have been admitted, quashed the conviction and ordered a new trial. In dealing with this issue 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trial judge prevented Dr. E. from testifying about his conclusions on the reliability of the children's memories of specific events, finding that to do so would usurp the function of the Court in making findings of credibility.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Expert testimony is admissible even if it relates directly to the ultimate question which the trier of fact must answer. In </w:t>
      </w:r>
      <w:r>
        <w:rPr>
          <w:rFonts w:ascii="arial" w:eastAsia="arial" w:hAnsi="arial" w:cs="arial"/>
          <w:i/>
          <w:color w:val="000000"/>
          <w:sz w:val="20"/>
          <w:lang w:val="en-US" w:eastAsia="en-US" w:bidi="ar-SA"/>
        </w:rPr>
        <w:t>R. v. Burns</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[1994] 1 S.C.R. 656</w:t>
        </w:r>
      </w:hyperlink>
      <w:r>
        <w:rPr>
          <w:rFonts w:ascii="arial" w:eastAsia="arial" w:hAnsi="arial" w:cs="arial"/>
          <w:color w:val="000000"/>
          <w:sz w:val="20"/>
          <w:lang w:val="en-US" w:eastAsia="en-US" w:bidi="ar-SA"/>
        </w:rPr>
        <w:t xml:space="preserve"> at page 666, McLaughlin J., writing for the Court,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While care must be taken to ensure that the judge or jury, and not the expert, makes the final decisions on all issues in the case, it has long been accepted that expert evidence on matters of fact should not be excluded simply because it suggests answers to issues which are at the core of the dispute before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E.'s testimony was relevant to the issue of the reliability of the children's memories of their birth parents, memories which he suggested had been learned and which could not be independently recalled. The credibility of the children was central to the disposition of the case, and considering the nature of the children's evidence, any explanation of their otherwise incredible behaviour could only aid the trier of fact in accurately assessing the credibility. Dr. E.'s testimony should have been admitted as an evidentiary basis upon which the children's credibility could have been judged.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Shekter then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issue of an expert's ability to opine on an ultimate issue seems well established, the Courts have consistently engrafted upon this principle the notion that before an expert is permitted to do so, the evidence will be subjected to increased or special scrutiny. In </w:t>
      </w:r>
      <w:r>
        <w:rPr>
          <w:rFonts w:ascii="arial" w:eastAsia="arial" w:hAnsi="arial" w:cs="arial"/>
          <w:i/>
          <w:color w:val="000000"/>
          <w:sz w:val="20"/>
          <w:lang w:val="en-US" w:eastAsia="en-US" w:bidi="ar-SA"/>
        </w:rPr>
        <w:t>R. v. J (L-J.)</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[2000] 2 S.C.R. 600</w:t>
        </w:r>
      </w:hyperlink>
      <w:r>
        <w:rPr>
          <w:rFonts w:ascii="arial" w:eastAsia="arial" w:hAnsi="arial" w:cs="arial"/>
          <w:color w:val="000000"/>
          <w:sz w:val="20"/>
          <w:lang w:val="en-US" w:eastAsia="en-US" w:bidi="ar-SA"/>
        </w:rPr>
        <w:t xml:space="preserve">, Binnie J. held that the "closeness of the expert's opinion to the ultimate issue is another reason for special scrutiny," citing, as support for this proposition, Justice Sopinka in Mohan and Justice Marc Rosenberg in </w:t>
      </w:r>
      <w:r>
        <w:rPr>
          <w:rFonts w:ascii="arial" w:eastAsia="arial" w:hAnsi="arial" w:cs="arial"/>
          <w:i/>
          <w:color w:val="000000"/>
          <w:sz w:val="20"/>
          <w:lang w:val="en-US" w:eastAsia="en-US" w:bidi="ar-SA"/>
        </w:rPr>
        <w:t>R. v. Pascoe</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[1997] O.J. No. 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are three general bases upon which the plaintiff objects to portions of the expert report. One is the ultimate issue, but I do not understand the plaintiff to rely on that exclusively. The plaintiff has also objected that certain opinions, because they are conclusions not supported by sufficient facts or background, are inadmissible. And lastly, the plaintiff says that some of the opinions, given the above two factors, are possibly not necessary and therefore do not qualify as proper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turn separately to each portion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page 10 of the report, in the last full paragraph, the plaintiff objects to the sentence: "The development of the maintenance program and the delivery of the manuals to the owner is the responsibility of the fire suppression installation contractor." This is not a statement about the standards of conduct of the professional engineer, but rather, about the fire suppression installation contractor, and that on that basis alone I find no objection to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also objects to the second sentence: "The qualified registered professional is only responsible to ensure that the maintenance material and manuals have been left on the site or delivered to the project, design consultant, or owner." Although this sentence comes closer to the ultimate issue, keeping in mind the case law and commentary cited above, I am satisfied that this is admissible evidence. I do not read that sentence as drawing a direct line from the noted responsibility to a conclusion about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certainly relates to the issue of standard of care and meeting that standard, but in my view, there is plenty of room for the plaintiff to challenge in cross-examination and final submissions Mr. Chow's reasoning. Rather than exclude the evidence, it may be better to subject it to special scrutiny as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Turning to page 11, starting at the second sentence of the first full paragraph: "The qualified registered professional has no control of the maintenance program and the development of the maintenance and testing manuals." This sentence is not objectionable. It states a fact that is either assumed or has to be proven. The plaintiff therefore has the ability to argue and challenge it based on weight. The sentence does not make a conclusion about standard of care, generally, or about Mr. Wattie's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next sentence at issue: "The fire suppression system installation contractor is responsible for the supply of the manuals." This is not a comment about the standard of care of the registered engineer and therefore is not objectionable.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last sentences: "The registered professional is not responsible for the supply and delivery of the maintenance and testing manuals to the owner. The maintenance manual having been left on the premises can be confirmed of the review of the contractor's material and test certificate." For the reasoning discussed above regarding the ability of the plaintiff to challenge this and to ask the Court to apply special scrutiny, I do not exclude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same reasoning applies to the objection brought to the last three sentences under the heading "Opinion" on page 11 starting "The registered professional" and I won't read the rest of that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Lastly, the plaintiff objects to everything under the heading "Opinion" starting at page 13 and ending on the top of page 14. I do not find this objectionable and I admit it into evidence. For the reasons discussed above, many portions do not address the standard of care of the registered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objects to the sentence: "That therefore removal of the trapped water or moisture into the low point drains before the freezing weather season is required by NFPA 25". It says the sentence speaks to the ultimate issue. However, I have specifically qualified Mr. Chow to give opinions about the standards required under NFPA, and therefore this evidence is admissible. Counsel still have the opportunity to argue whether I should ignore, subject to special scrutiny, or place less weight on the opinion. The plaintiff can also raise objections that the opinion is insufficiently supported by facts to be accepted as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conclusion, the report of Mr. Chow as a whole is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5"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McCartney v. McArthur, [2014] B.C.J. No. 2846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21-25 and 28-31, and August 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M114727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2164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McCartney, Plaintiff, and Thomas McArthur,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5" w:name="Keywords_14"/>
      <w:bookmarkEnd w:id="95"/>
      <w:r>
        <w:rPr>
          <w:rFonts w:ascii="arial" w:eastAsia="arial" w:hAnsi="arial" w:cs="arial"/>
          <w:b/>
          <w:color w:val="000000"/>
          <w:sz w:val="20"/>
          <w:lang w:val="en-US" w:eastAsia="en-US" w:bidi="ar-SA"/>
        </w:rPr>
        <w:t>Damages — Types of damages — General damages — For personal injuries — Considerations — Aggravation of pre-existing injury — Extent of incapacity — Cost of future care — Loss of earning capacity — Non-pecuniary loss — Pain and suffering — Plaintiff awarded $75,00 in non-pecuniary damages, $40,000 for loss of future income and $5,296 in special damages — Plaintiff suffered aggravation to his neck pain in motor vehicle accident — Injuries suffered imposed some functional limitations on him and interfered with his ability to work effectively as a cabinet salesman — Evidence did not establish that plaintiff would not be able to replace some of his income at another place of employment if he was terminated by his current employer for failure to meet sales quota.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6" w:name="Case Summary_13"/>
            <w:bookmarkEnd w:id="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suffered in a 2010 motor vehicle accident. The defendant admitted liability. The plaintiff, 59, at the time of the accident, suffered neck pain in the accident. He worked as a kitchen cabinet salesman at the time of the accident earning about $35,000 per year. His employment conditions changed in 2013 and he was laid off from his employment because he did not meet the sales quota. He and his wife also had a small cleaning contract which was terminated shortly after the accident. The plaintiff currently worked for another kitchen cabinet company but would likely be terminated as he did not meet the sales quota. The plaintiff claimed that he could not drive long distances due to his neck condition. At the time of the accident, the plaintiff weighed about 220 pounds. The doctors who had examined the plaintiff noted that he was significantly deconditioned because of his weight and other health issues. The plaintiff has been diagnosed with diabetes, high blood pressure and high cholesterol. He had been attending a chiropractor for over 20 years, primarily for the treatment of his back but also for treatment of neck pain. The medical experts agreed that there were degenerative changes in the plaintiff's neck prior to the accident and that the accident aggravated the plaintiff's pre-existing neck problems.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7" w:name="Holdings of Court_10"/>
            <w:bookmarkEnd w:id="9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$120,296. The plaintiff established that the accident contributed to the injuries complained of by the plaintiff. The plaintiff s neck condition was significantly aggravated by the accident. The injuries suffered imposed some functional limitations on him and interfered with his ability to work effectively as a cabinet salesman. The accident had negatively affected the quality and enjoyment of the plaintiff's life. The plaintiff was awarded $75,000 in non-pecuniary damages. He did not establish that he had not sought another cleaning contract because of his injuries from the accident. The court did not accept that the termination of the plaintiff's job in 2013 was due to his functional incapacity resulting from the accident. The plaintiff had achieved his maximum level of sales with that employer before the accident. His annual earnings as a kitchen cabinet salesman for a number of years before and after the accident had been quite consistent at $35,000. His limitations from the pain might prevent him from earning $35,000 per year in the future. The evidence did not establish that the plaintiff would not be able to replace some of his income at another place of employment if he was terminated by his current employer. The plaintiff's loss of future income would amount to $12,000 annually. Damages for loss of future income were assessed at $40,000. No award was made for the cost of future care. The claim for the cost of landscaping and house renovations was not supported as a cost of future care. The plaintiff was awarded $5,296 as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8" w:name="Counsel_14"/>
      <w:bookmarkEnd w:id="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B.A. McIntosh.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O.L. Wilson.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9" w:name="Judgment_14"/>
      <w:bookmarkEnd w:id="99"/>
      <w:r>
        <w:pict>
          <v:line id="_x0000_s1098" style="position:absolute;z-index:2517760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0" w:name="T.W. BOWDEN J."/>
            <w:bookmarkEnd w:id="100"/>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seeking damages in relation to injuries he sustained in a motor vehicle accident that occurred on September 30, 2010, in Courtenay, British Columbia. Liability has been admitted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extent of the injuries sustained by the plaintiff as a result of the accident;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to which the plaintiff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ACCIDENT AND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driving a Honda CRV and was stopped in traffic when his Honda was struck in the rear by a Jeep Cherokee driven by the defendant. The defendant estimated that he was travelling at a speed of about 30 km/h before hitting the plaintiff. The impact pushed the Honda into a vehicle stopped in front of it. The Honda was a newer vehicle and photographs after the accident show some scratches on the rear of the Honda and some damage to the front of the Jeep. The damage to the vehicles appears to be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the accident, the plaintiff exchanged licence information with the defendant and the driver of the vehicle in front of the Honda. No emergency services attended the accident scene. The plaintiff drove to an auto body shop and phoned ICBC. He then drove the vehicle to deliver a set of plans to a customer in Cumberland. He said that he did not return to his place of work because he had a headache. He said that it took him longer than usual to travel to his home in Nanaimo because he had to stop a couple of times to relieve the pain in his neck. He also said that he felt confused at times. He testified that he did not sleep well that night because of the pain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took his vehicle to ICBC on October 1, 2010. On October 2, 2010, he was scheduled to travel to Courtenay and open his employer's showroom but said that he was not able to make the trip because of his neck pain. He drove to Courtenay on October 4, 2010, to see his family doctor, Dr. Daws. After that visit, using his vacation time, the plaintiff took two weeks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PLAINTIFF'S 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born on November 11, 1951. At the time of the accident he was 59 years of age and at the time of the trial he was 62. He grew up in Ontario and graduated from high school at the age of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joined the RCMP at the age of 19. He completed the RCMP training course in Regina. While there he injured his right knee. It was subsequently diagnosed as a fracture. He had some ongoing problems with that knee and underwent operations in 1983, 1984 and 1994 which have resolved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Rather than take a new posting, the plaintiff left the RCMP after nine years of service in Fort McMurray, Alberta. He said that he had some difficulties with the duties that he was required to perform as a police officer such as dealing with the death of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and his wife then operated a furniture store in Wainwright, Alberta, for about two years. That business did not succeed and he went on to sell furniture from a former supplier to other furniture retailers.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and his family moved to Comox on Vancouver Island in 1993. At first they rented a residence and then purchased a condominium. He worked as a salesman for Superior Carpets for a period of time and then found employment at Oak Hills Woodcraft, in Courtenay, B.C., designing and selling kitchen cabinets and other furnishings. He was employed at Oak Hills at the time of the accident and remained there until he was terminated in July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Part of his job at Oak Hills was to travel around his territory in his vehicle prospecting for potential customers. He often did this by reviewing building permits and then visiting house construction sites. His territory was generally from Port Alberni to Nanaimo. He said that he would spend about 60% of his working day on the road and about 40% in the office doing design and other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and his wife moved to Nanaimo in 2004 when she became employed as a loss prevention officer at the Superstore located there. The plaintiff continued to work for Oak Hills in Courtenay.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said that he enjoyed driving and liked the commute each working day from Nanaimo to Courtenay consisting of about 110 kilometers each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December 2009, in addition to their full time employment, the plaintiff and his wife took on a small cleaning contract with a company in Nanaimo that involved cleaning their offices twice a week. While they continued this work after the accident, the plaintiff said that he and his wife shared the cleaning duties differently. He took on the less onerous work. The company cancelled the contract in May 2012 for reasons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tax information filed by the plaintiff indicates that his earnings in 2006 from Oak Hills were $33,090; in 2007, $34,154; in 2008, $34,564; in 2009, $35,200 and in 2010, $36,549, including the periods before and after the accident. In 2011 his earnings at Oak Hills were $35,708, and in 2012 they were $34,344. In 2013 his combined income from Oak Hills, employment insurance and Island Granite was $32,007.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earnings from the office cleaning contract were $375 in 2009; $3,600 in 2010; $3,487 in 2011; and $4,416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conditions of employment at Oak Hills changed in January 2013. Previously, he had worked about 32 hours a week, receiving an advance on commissions of $2,800 per month and a car allowance. After January 2013, he was paid on an hourly basis for an expected work week of 40 hours at the rate of $13.50 per hour as an advance against his commissions. He was entitled to a commission equal to 9% of his gross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March 13, 2013, the plaintiff provided a note from his family doctor to his employer that his work hours should be reduced from 40 to 32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Around the same time, the plaintiff was informed by his employer, Herb Robertson, that if his sales did not improve he would be laid off. In April 2013 he started looking for other employment and on July 7, 2013, he was laid off. Mr. Robertson testified that he let the plaintiff go because he was not achieving the expected sales. The plaintiff said that he was not able to work at the level expected by Mr. Robertson because of the pain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began collecting employment insurance and said that during the time that he was not commuting to Courtenay his symptoms improved somewhat. He turned down a job offer at Mid Island Cabinets because of the driving requirements. He eventually found employment as a part-time receptionist at Island Granite. That job ended in January 2014 when his employer's son took over the position. He turned down a job at Studio Kitchens in Nanaimo because it required too much driving for prospecting. In March 2014 he accepted a job at Studio Kitchens that involved meeting customers in the showroom and less time on the road. He is paid a minimum wage of $10.25 per hour as an advance on a commission of 9% on the first $600,000 of sales. His employer expected his sales to be at least $600,000 even though the position had been modified to reduce the driving and prospecting elements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manager at Studio Kitchens, Murray Hammond, testified that he was aware that the plaintiff was suffering neck pain when he hired him and said that on some days he appeared to be in pain when he worked. Mr. Hammond testified that the plaintiff's performance was not meeting the employer's expectations and he said that the plaintiff might lose his job a month after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attributes his poor performance at Studio Kitchens to the pain he experiences in his neck and his mood changes. Although he had never achieved that level of sales at Oak Hills, the plaintiff said that he had anticipated reaching the $600,000 level in sales at Studio Kitchens because their kitchen product was cheaper and easier to sell than the same product at Oak Hills.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accident, the plaintiff continued to travel with his wife and family. His travel included trips to New York, Las Vegas and China. He said that flights longer than two hours caused him pain, and in China he had to take Tylenol to deal with his pain. He said that in New York he had difficulty looking up at the tall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and his wife, Ms. Karen McIntosh, reside in one half of a duplex which they own. Their residence is subject to a mortgage with a remaining term of 12 years. They each testified that they will not be able to afford that mortgage after they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McIntosh is 60 years of age and plans to retire from her employment in 41/2 years. She said that if the plaintiff could not continue to work they will have to sell their duplex and she will have to continue to work. In contrast, the plaintiff said that they hoped to remain in the duplex by refinancing the mortgage but he had not looked into the availability of refinancing. I do not consider that this goes to the credibility of the plaintiff as submitted by the defendant. Rather, it may be that Ms. McIntosh has a more pragmatic view of their future than the plaintiff. The evidence supports her view that they would not be able to afford to remain in their residence after retirement even if the accident had not occurred and will have to downsize.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family doctor, Dr. Daws, noted in her report of March 21, 2014, that his medical history included a sedentary lifestyle and obesity. He weighed about 220 pounds at the time of the accident. He smokes a package of cigarettes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doctors who have examined the plaintiff noted that he is significantly deconditioned because of his weight and other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has been diagnosed with diabetes, high blood pressure and high cholesterol. He is on separate medications for each of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Prior to the accident the plaintiff experienced a condition known as "trigger finger" in both hands which caused his fingers to lock up. He had surgery in 2008 to resolve the problem but continues to receive injections of cortisone in both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also appears that the plaintiff has ongoing limitations in relation to the use of his right knee. He reported to Dr. Gittens that he has osteoarthritis in his right knee. Dr. Gittens reported that he did not attempt to bend the plaintiff's right knee because of the arthritis. Mr. Pakulak also noted in his report that the plaintiff's knee mobility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has received regular chiropractic treatments over many years, averaging four to five visits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chiropractor, Dr. Fenneman, gave evidence that before the accident he would treat the plaintiff when his symptoms flared up, and he experienced pain. In 2009, the year before the accident, he treated the plaintiff eight times. Dr. Fenneman testified that in 2009 most of the plaintiff's complaints related to his lower back but some related to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2010, prior to the accident, the plaintiff was treated by Dr. Fenneman seven times. On July 27, 2010, the plaintiff reported slight neck twinges and minor neck pain on that day and the prior day. When he saw Dr. Fenneman on September 14, 2010, the plaintiff reported that he had slept on a new pillow and presented with decreased left rotation and stiffness in his neck. He next saw Dr. Fenneman on September 16, 2010, and he performed another adjustment to the plaintiff's neck. On September 20, 2010, the plaintiff reported to Dr. Fenneman that his neck had been sore all weekend when lying down and Dr. Fenneman suggested that he modify his sleeping position to avoid pressure on his neck. The plaintiff also reported increased neck pain from sitting at his computer at work. At that visit, Dr. Fenneman noted limited rotation and soreness in the plaintiff's neck. At a visit on September 23, 2010, the plaintiff reported feeling better but said that he still experienced some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last visited Dr. Fenneman on September 28, 2010, two days before the accident. The plaintiff reported to Dr. Fenneman that he was doing better but had increased neck pain the day before when he looked up. He also reported minor pain in his left elbow and wrist. Dr. Fenneman suggested to the plaintiff that when he was using a computer he sit closer to the desk so that he would not have to extend his neck and look up. On each visit, Dr. Fenneman performed treatments to the plaintiff's neck muscles as well as chiropractic neck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Fenneman's records indicate that on September 28, 2010, the plaintiff's symptoms were getting worse, not better. The plaintiff could not recall whether he had pain on September 29, 2010, but testified that on that day he had mowed the lawn at his house without difficulty and driven to Courtenay without any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Tanya Daws testified as a family physician. The plaintiff first became a patient of hers in 2009. She testified that the plaintiff's complaints about his neck after the accident presented as a "complex pain picture". She was not aware until after the accident that the plaintiff had been seeing a chiropractor for neck and lower back pain including during the month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the accident she referred him to a physiotherapist and to an orthopaedic surgeon, as well as the Nanaimo Pain Clinic. She referred him for an X-ray of his neck and it showed signs of degeneration which she considered to be normal for someone of the plaintiff's age. Subsequent CT scans and MRIs showed significant osteoarthritis and degenerative disc disease in the neck region which she considered to be a partial contributor to the plaintiff's neck pain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Daws considered that the plaintiff suffered neuropathic pain which describes what was previously referred to as "chronic pain syndrome". Her opinion is that a CT scan, taken on January 19, 2011, indicated that the accident likely accelerated the rate of degenerative change resulting in the plaintiff suffering the pain that he described. Her views are not shared by Dr. Gittens, Dr. Arthur or Dr. O'Connor, who all opined that the degenerative changes shown on the CT and MRI scans predated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Daws opined that the accident significantly worsened his underlying condition. She said that it was unclear how much treatment the plaintiff would need in the future. She said he would need fairly regular chiropractic treatments and some pain medication. As the arthritis progresses, she said he may require surgery; however, she agreed, such an opinion is probably outside her area of expertise. I note that it is not shared by Dr. Arthur or Dr. Gittens.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Daws' report states that the plaintiff is not able to tolerate a normal Monday to Friday work week and she does not expect any improvement in the future. Her opinion does not seem to consider that at the time of the accident the plaintiff was only working four days a week and was able to continue working on that schedule after the accident. At the time of the trial, the plaintiff was working Monday to Friday at Studio Kitchens, which is more hours than he was working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Russell O'Connor testified as a physiatrist. He saw the plaintiff on March 1, 2013, and prepared two reports. His opinion was that the plaintiff had a pre-existing neck problem, probably in the facet joints, due to age-related degeneration. He said that with aging the associated pain would get worse but agreed that in the plaintiff's case there was an increase in pain after the accident that led him to conclude that the accident caused an aggravation of pre-existing degenerative changes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Dr. Daws testified that on April 12, 2013, she diagnosed the plaintiff as having a major depressive disorder of moderate severity, Dr. O'Connor's opinion was that the emotional effect of the accident was to make the plaintiff moderately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O'Connor's opinion was that the chiropractic visits just before the accident indicated that his neck was bothering him and he had had a recent flare-up of his neck pain. He said that he could not tell whether this condition was going to persist because the accident occurred too soon after his chiropractic treatments but said, based on his prior history, that it was more likely than not that his condition before the accident would have settled in a matter of weeks. He said that he considered the plaintiff to have been in the "thin skull" category. His opinion was that the plaintiff was higher functioning before than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O'Connor wrote a second report dated June 10, 2014, and corrected his earlier assumption that the plaintiff had only visited a chiropractor twice in September 2010 before the accident, when in fact he had five visits. His opinion was that the additional visits were in keeping with his previous chiropractic treatments. Dr. Fenneman said that when the plaintiff would see him, one or two treatments would correct the problem. The five treatments during two weeks in September appear to go beyond what the plaintiff required in his prior visits to the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O'Connor incorrectly assumed that the plaintiff had complained to Dr. Fenneman of pain upon looking up when he saw him on September 16, 2010. That complaint was actually made by the plaintiff at his visit to Dr. Fenneman on September 28, 2010. Dr. O'Connor agreed that if he had known this, it could have changed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Winston Gittens testified as an expert in neurosurgery. He assessed the plaintiff on May 18,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His diagnosis of the plaintiff in relation to the accident was that the plaintiff suffered soft tissue injury to his neck, left shoulder area and left paraspinal muscles in the dorsal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Gittens opined that the accident possibly aggravated prior neck symptoms, namely pain and spondylosis, noting that the plaintiff had been seeing a chiropractor on a regular basis for the preceding two years, including just prior to the accident. He also noted soft tissue injury to the left elbow and hand as reported by Dr. Daws. He reported a possible transient ulnar neuropathy in the area of the left elbow. He said the clinical data did not indicated a traumatic brain injury. He said there may have been a short period of disorientation following the accident but he did not consider that the plaintiff's complaint of memory impairment reflected any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to his prognosis, Dr. Gittens said that the plaintiff has some ongoing symptoms, the most significant of which is chronic pain localized in the neck and shoulder blade area, as well as part of the left arm. He said that the neck pain was present prior to the accident and he would have expected the plaintiff to continue to require chiropractic intervention if the accident had not occurred. However, he believes that the accident did result in the activation or aggravation to some extent of the plaintiff's pre-existing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From a neurological standpoint, Dr. Gittens could not detect any significant disability. He said there is no neurological reason why the plaintiff cannot continue to work until his planned retirement. However, he acknowledges that there may be some limitations arising from his pain and his restrictions on neck movement, some of which would be degenerative in nature. Dr. Gittens did not foresee any long term complications related to the accident. He said that any degenerative changes which develop in the plaintiff's neck would most likely be changes that would occur naturally as the plaintiff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John Arthur testified as an orthopaedic surgeon. He assessed the plaintiff on January 27,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Arthur stated that the plaintiff's symptoms were clearly present prior to the accident and temporarily aggravated by the accident, but he opined that his symptoms are secondary to cervical spondylosis or arthritic changes in his cervical spine. He also expressed the view that while the accident clearly aggravated the plaintiff's condition, he had the condition prior to the accident and it likely would have persisted regardless of the accident. He agreed that it was impossible to say whether the visits by the plaintiff to the chiropractor in the last two weeks of September 2010 represented a temporary flare-up or the beginning of a progressive decline. He also said that he was not sure whether the plaintiff's neck pain has returned to its pre-accident base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Roy O'Shaugnessy provided expert testimony as a psychiatrist. He examined the plaintiff on August 1, 2013. He stated that the plaintiff had significant psychological symptoms triggered by the accident, meeting the definition of an adjustment disorder, with anxiety and depressed mood. Dr. O'Shaugnessy opined that the adjustment disorder resulted from a combination of pain and financial stress. I note that the plaintiff was seen by Dr. O'Shaugnessy less than a month after he had been laid off by Oak Hills Woodcraft.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O'Shaugnessy did not consider the plaintiff to be disabled by his anxiety, but the anxiety contributed to his physical difficulties and preoccupation with his pain. In addition he said it would affect the quality of his life and his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O'Shaugnessy also concluded that the plaintiff had symptoms associated with post-traumatic stress disorder as a result of his experience in the RCMP. He said that the accident did not cause a relapse of those symptoms; however, he recommended that the plaintiff see a psychologist. The plaintiff has not followed that recommendation. He said he could not afford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Paul Pakulak carried out an evaluation of the plaintiff's functional capacity on March 11, 2014. He testified as an occupational therapist. The defendant did not present any evidence to rebut Mr. Pakulak's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Pakulak's opinion was that the plaintiff has limitations arising from his neck and shoulder but has demonstrated the physical capacity to be employed on a full time basis at up to a medium strength level. Prolonged and repetitive overhead work and below waist level work should only be occasional. His opinion is that the plaintiff's overall capacity to compete for work in an open job market has been reduced due to his ongoing physical limitations such that the number of jobs available to him is limited compared to before the accident. He opined that he is not well suited for work as a cabinet salesman but could manage work with less demand for driving and commuting.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must establish that the accident caused his injury. He has the burden of proving on a balance of probabilities that but for the defendant's negligent act his injuries would not have occurred. Putting it another way, the plaintiff must establish that his medical problems after the accident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16, the Supreme Court of Canada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does not have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his injury. At para. 17 of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caused not only by the dropping of a lighted match, but also by the presence of combustible material and oxygen, a failure of the cleaner to empty the basket and so forth".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So long as the plaintiff proves a substantial connection between the injuries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the defendant will be fully liable for the harm suffered, even if other causal factors, which the defendant is not responsible for, were at play in producing the harm: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light of the plaintiff's medical history I have considered his symptoms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has been attending a chiropractor for over 20 years, primarily for the treatment of his back but also for treatment of neck pain. Of particular significance are the visits by the plaintiff to the chiropractor, Dr. David Fenneman, just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September 2010, Dr. Fenneman treated the plaintiff five times. At a visit on September 14 he treated the plaintiff for a stiff neck which the plaintiff attributed to sleeping on a new pillow that his spouse had purchased. On September 16 he did another adjustment to the plaintiff's neck in the area of C6 of his spine. On that occasion the plaintiff said that the pain in his neck had increased because of the time he had spent on his computer. He performed a further adjustment in the area of C6 because the plaintiff reported that he was still sore in that area. On September 28, two days before the accident, the plaintiff reported to Dr. Fenneman that the pain in his neck had increased when he had looked up. Dr. Fenneman did another adjustment in the C6 area and recommended to the plaintiff that he adjust his chair position at his computer to allow him to sit more upright so as to require less neck extension. He did not see the plaintiff again until November 23, 2010, well after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seems that the plaintiff attended the chiropractor regularly each year primarily to deal with pain in his lumbar area. The visits in September 2010 also related to pain in his neck which appears to have been caused from the use of a new pillow but which he discontinued using. He also said he would get routine maintenance treatments on his neck. The evidence of his family doctor, Dr. Daws, is that he did not complain of neck or back pain in the year before the accident. Importantly, there is no evidence that before the accident the condition of his back or neck restricted his ability to work either as a kitchen cabinet salesman or around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Around his home he extended the driveway in 2005. In his sloped yard he terraced a hillside and hauled gravel to make pathways to the top of the backyard. He built stairs and a patio at the ground level. He looked after trimming their tall hedge and mowed the lawn. He was able to do this type of work without help from anyone. Since the accident he testified that he has not been able to do any of this type of work because of the pain in his neck, shoulder and arm. The heavier physical work is too difficult for his wife to do but she now mows their lawn. Before the accident he also did many renovations inside their home including the installation of new kitchen cabinets, crown moulding and new light fixtures, without experiencing any pain. Since the accident he says he was able to change a light fixture but it took over two hours and he was in great pain for the next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While working he would travel extensively in his territory looking for prospective customers. He drove about 45,000 kilometers each year. He says that he can no longer do that without having to stop frequently to relieve the pain in his shoulder and neck. He says he no longer experiences pain-free driving. He is also no longer able to carry door and cabinet samples to show customers as he had done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testified that his primary problem since the accident is the pain in his neck that arises when his neck is in certain positions such as looking up. He also experiences pain in his left shoulder from time to time. The medical experts generally agree that there were degenerative changes in the plaintiff's neck prior to the accident and they may have been somewhat responsible for the pain he now suffers but may not have caused him any pain before the accident. They generally agree that the accident aggravated the plaintiff's pre-existing neck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said that he does not recall whether or not he had neck pain on September 28, 2010. All he can say about his condition just before the accident is that on September 29, 2010, he was able to do his regular chores around his residence including mowing the lawn which he says he can no longer do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am satisfied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has been admitted, contributed to the injuries complained of by the plaintiff. While the plaintiff's pre-existing condition resulted in symptoms in his neck area that had some similarity to those he experienced after the accident, the degree of pain experienced by him clearly increased after the accident and, I find, became chronic in nature. In particular, Dr. Gittens testified that the plaintiff's pre-existing condition, involving some degenerative changes in his spine, was aggravated by the accident. He said that his pain, which he described as neuropathic, occurs after the underlying trauma has resolved and is extremely difficult to resolve. He said it may be a permanent condition. In my view the evidence establishes that the symptoms suffered by the plaintiff after the accident were different and worse than before the accident. His neck condition was significantly aggravated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then necessary to determine the amount of damages that should be awarded for the injuries sustained by the plaintiff. The purpose of damages is to try and restore an injured plaintiff to the same position that he was in before the accident by making a monetary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While in this case the plaintiff was an overweight smoker with some health issues and signs of degeneration in his spine and thus was probably more vulnerable to injury, he is nevertheless to be compensated for the entire extent of his injury caused by the defendant's negligent act. The defendant must take the plaintiff as he is. A plaintiff whose pre-existing physical condition makes him more vulnerable to sustain injury is nevertheless entitled to be compensated for his injury. However, the defendant does not, by monetary compensation, have to put the plaintiff in a better position that he was in before the accident.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there is no measurable risk that the pre-existing condition of the plaintiff would have resulted in the symptoms experienced by him after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Non-pecuniary damages attempt to compensate a plaintiff for the pain, suffering and loss of enjoyment of life which resulted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seeks non-pecuniary damages of $120,000. The defendant submits that the appropriate amount in this category is $25,000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principles to apply in determining non-pecuniary damages have been well articulated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and include the age of the plaintiff; the nature of the injury; the severity and duration of the pain; the nature of the disability; the emotional suffering and the loss or impairment of life; the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have concluded that the plaintiff suffered aggravation to his neck pain as a result of the accident and his pain has become chronic in nature. For the first time, the pain that the plaintiff suffers imposes some functional limitations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also establishes that the plaintiff went from an outgoing pleasant person to someone who was easily irritated by other people. This has interfered with his ability to work effectively as a cabinet salesman.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satisfied that the accident has negatively affected the quality and enjoyment of the plaintiff's life and that may continue indefinitely. He will likely continue to suffer pain, together with the associated deleterious effects on his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considering the relevant case law referred to by counsel and keeping in mind that the award in each case is very dependent upon the unique facts of the case, I award the plaintiff $75,000 in non-pecuniary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As stated succinctly in </w:t>
      </w:r>
      <w:r>
        <w:rPr>
          <w:rFonts w:ascii="arial" w:eastAsia="arial" w:hAnsi="arial" w:cs="arial"/>
          <w:i/>
          <w:color w:val="000000"/>
          <w:sz w:val="20"/>
          <w:lang w:val="en-US" w:eastAsia="en-US" w:bidi="ar-SA"/>
        </w:rPr>
        <w:t>Pilfold v. Jaswal</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2014 BCSC 719</w:t>
        </w:r>
      </w:hyperlink>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A plaintiff is entitled to be compensated for the loss of the value of the work he would have performed but for the injuries sustained in the accident.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the Court describes this as a claim for loss of earning capacity.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understand that the plaintiff is not making a past income loss claim in relation to the cleaning contract that he and his wife had at Securiguard until it came to an end in May 2012. That contract was cancelled by Securiguard for reasons that were not related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the time of the accident the plaintiff was working about 32 hours a week at Oak Hills Woodcraft. He received a base salary of $1,200, plus a car allowance of $150 every two weeks, for a total of $1,350. He took seven days off after the accident; however, he used his vacation time for that time off and continued to receive his regular salary. In 2010 his income was $36,549 which is slightly more than he received in the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seeks $1,181.25, representing his salary for the seven days that he did not work shortly after the accident when he used his vacation time. The plaintiff argues that by using seven days of his vacation entitlement he gave up something that should be compensated for as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the use of days from a bank of sick leave days may entitle a plaintiff to compensation for the loss of past income because the plaintiff may have to pay to replace the sick days, in my view the use of vacation time does not represent lost income. (</w:t>
      </w:r>
      <w:r>
        <w:rPr>
          <w:rFonts w:ascii="arial" w:eastAsia="arial" w:hAnsi="arial" w:cs="arial"/>
          <w:i/>
          <w:color w:val="000000"/>
          <w:sz w:val="20"/>
          <w:lang w:val="en-US" w:eastAsia="en-US" w:bidi="ar-SA"/>
        </w:rPr>
        <w:t>Roberts v. Earthy</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1995 CarswellBC 1800</w:t>
        </w:r>
      </w:hyperlink>
      <w:r>
        <w:rPr>
          <w:rFonts w:ascii="arial" w:eastAsia="arial" w:hAnsi="arial" w:cs="arial"/>
          <w:color w:val="000000"/>
          <w:sz w:val="20"/>
          <w:lang w:val="en-US" w:eastAsia="en-US" w:bidi="ar-SA"/>
        </w:rPr>
        <w:t xml:space="preserve"> (B.C.S.C.)). During that vacation time the plaintiff continued to receive his expected income.</w:t>
      </w:r>
      <w:r>
        <w:rPr>
          <w:rFonts w:ascii="arial" w:eastAsia="arial" w:hAnsi="arial" w:cs="arial"/>
          <w:sz w:val="20"/>
          <w:lang w:val="en-US" w:eastAsia="en-US" w:bidi="ar-SA"/>
        </w:rPr>
        <w:cr/>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basic principles to be applied in assessing damages for the loss of future earning capacity were summarized by the Court of Appeal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b/>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b/>
          <w:i/>
          <w:color w:val="000000"/>
          <w:sz w:val="20"/>
          <w:lang w:val="en-US" w:eastAsia="en-US" w:bidi="ar-SA"/>
        </w:rPr>
        <w:t>Parypa v. Wickware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Garson J.A. for the court, wrote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seeks damages for loss of future earning capacity on the basis that but for the accident, he would have maintained his employment at Oak Hills, where he earned about $35,000 annually, until January 2013 when his conditions of employment were changed by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says that absent the accident and the injuries that affected his job performance at Oak Hills he could have sold somewhere between his average sales of $335,000 and $700,000 annually. He says that a conservative estimate is that he could have sold $500,000 annually such that his income would have been $45,000 per year from the date of the accident until January 1, 2013. In addition, the plaintiff says that absent the accident he would have earned $3,600 from another cleaning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After January 1, 2013, the plaintiff argues that his injuries further affected his job performance which led to his termination on July 7, 2013. Including his severance pay, his income until May 15, 2014, was $7,021. The plaintiff says that during that period had it not been for his injuries he would have earned an additional $41,579 from Oak Hills and another cleaning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 regard to his employment at Studio Kitchens starting in March 2014, the plaintiff submits that he would have earned $57,600 annually for a period of five years before his planned retirement. He further argues that there is a substantial likelihood that he will lose his job at Studio Kitchens because of his poor performance which he says is due to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acknowledges that his loss of income from Oak Hills and Studio Kitchens until his retirement should be reduced by 20% to allow for the possibility that he may not lose his job at Studio Kitchens.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will first address his claim regarding a cleaning contract. The plaintiff submits that but for the accident he would have sought another cleaning contract and says that absent the accident he would have earned $3,600 from another cleaning contract. In my view it has been open to the plaintiff and his wife since Securiguard terminated their contract to take on another cleaning contract similar to the one with Securiguard. They worked together to perform their obligations under that contract for almost two years following the accident by reallocating the duties between them and, in my view, could do so again. I am not persuaded that the plaintiff has not sought another cleaning contract because of his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will turn now to the plaintiff's claim in relation to Oak Hills. The terms of his employment at Oak Hills changed in January 2013 and his earnings became more uncertain. In addition, the size of his territory was reduced. In my view, it is reasonable to infer those changes adversely affected his income until he was terminated. I do not accept that the termination of the plaintiff's job at Oak Hills was due to his functional incapacity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a result of his termination from employment at Oak Hills on July 7, 2013, the plaintiff received eight weeks of severance pay. He started working at Island Granite in Nanaimo in September 2013. He was terminated from that job in January 2014 because the owner's son returned from his travels and was given the plaintiff's job. The loss of that job was not shown to have resulted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then accepted employment at Studio Kitchens and Design in Nanaimo where he earns a base salary of $820 biweekly as an advance against a commission of 9% of his gross sales. He was employed and working full time at Studio Kitchens at the time of the trial. The general manager of Studio Kitchens testified that the plaintiff is not on track to achieve the sales that are expected of him and also said that he has had complaints about him from two customers. He said that the plaintiff will probably be terminated within a month following the trial but could not say with certainty how long he would continue to be employed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evidence establishes that over a number of years the plaintiff's sales at Oak Hills have been about $335,000 per year. Since 2005 and until January 2013, the plaintiff's annual earnings from Oak Hills have averaged about $35,000. Based on his tax returns, his best income year was 2010, the year of the accident, when he earned $36,549.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cannot accept that absent the accident the plaintiff would have increased his sales at Oak Hills by almost 50%, thus increasing his annual earnings to $45,000. Prior to the accident the plaintiff's sales were consistently about $335,000 per year and his earnings about $35,000. The plaintiff was always free to increase his sales at Oak Hills before the accident but appears to have been content to sell at about the same level year after year. Indeed, he and his wife decided to take on a cleaning contract with Securiguard to enhance their income rather than work longer hours at Oak Hills. In my view the plaintiff achieved his maximum level of sales at Oak Hills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Although the plaintiff sought a reduction of his work hours at Oak Hills to 32 hours a week in March 2013, I note that he had worked five-day and three-day weeks on an alternating basis in 2012. The plaintiff is currently working five days a week at Studio Kitchens and the evidence does not establish that he is unable to continue to work on a full time basis until retirement in some type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annual earnings as a kitchen cabinet salesman for a number of years before and after the accident have been quite consistent, namely, about $35,000 each year. In January 2013 his employer changed the structure of his employment contract so that the plaintiff was expected to work 40 hours a week, and the expectation was that his sales would increase. It seems that his sales did not increase by July 2013 and he was laid off. While the plaintiff attributes his inability to increase his sales to the pain that he experiences, that was not a factor that impacted his income prior to the change in his employment conditions. The evidence shows that he was not able to increase his sales significantly beyond the $335,000 level, even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last pay cheque of the plaintiff at Studio Kitchens indicates that he received some commission income over and above his base salary and suggests that he has the potential to earn what he earned at Oak Hills. If he achieves $400,000 in sales at Studio Kitchens, which is well below the level expected by his manager, his commission income will be about $36,000. The plaintiff said that the kitchen cabinets at Studio Kitchens are less expensive than those he sold at Oak Hills and he expects to sell more. While I accept that the plaintiff may be capable of achieving $400,000 in sales, in my view it is unrealistic to expect that he would sell $600,000 of product at Studio Kitchens.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However, I have concluded that there is a real and substantial possibility that the plaintiff will lose his job at Studio Kitchens this year. He is only on track to sell $200,000 of their product this year which is far below the expected level of $600,000. This may be attributable to the fact that his opportunity to make sales is limited to the customers who walk into the showroom and he is not on the road prospecting for customers even on an occasional basis. Having reached that conclusion I must consider the impact of his injury on his future job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 number of factors bear on the plaintiff's prospects of future employment. He is 62 years of age and his experience is essentially limited to designing and selling kitchen cabinets. It also appears that the limitations he faces in driving a vehicle will likely limit the income he can earn in that business. Nevertheless, even with those limitations, he has demonstrated the ability to earn $35,000 per year while he was employed at Oak Hills, both before and after the accident. While his sales at Oak Hills were not satisfactory to his employer he might find employment elsewhere where his historic level of sales of $335,000 is acceptable; however, in my view that is unlikely given that two employers in the business of kitchen cabinet sales on Vancouver Island have found the plaintiff's sales to be unsatisfactory. While it is somewhat uncertain, I have concluded that his limitations from the pain that he suffers may prevent him from earning $35,000 per year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does not satisfy me that the plaintiff will not be able to replace some of his income at another place of employment if he is terminated by Studio Kitchens. As an example, after he was laid off by Oak Hills he accepted a job at Island Granite where the driving requirements were modest, and earned $12 per hour. The job suited his abilities and limitations and he said that he had hoped that it was going to become a full time job. It did not, but not because of his limitations. It was because the owners replaced the plaintiff with their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my view the plaintiff is still capable of finding a job similar to the one at Island Granite, working full time and earning $12 per hour, or about $23,000 annually. Accordingly, I have determined that the plaintiff's loss of future income will amount to $12,000 annually. I accept that he plans to work until January 30, 2019, when his wife will retire. In my view the plaintiff has mistakenly relied on his employment at Studio Kitchens to argue that he could sell $600,000 of their product and earn $57,000 a year in commission if he had not been injured. I consider that to be entirely speculative and not even likely on the basis of a simple probability. The evidence does not support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assess damages in respect of the plaintiff's lost future income at $50,000.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principles regarding damages for the cost of future care were reviewed by the Court of Appeal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law is settled as to the appropriate approach to be taken in assessing future care costs.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231"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referred to by the trial judge, the Court articulated the test: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w:t>
      </w:r>
      <w:r>
        <w:rPr>
          <w:rFonts w:ascii="arial" w:eastAsia="arial" w:hAnsi="arial" w:cs="arial"/>
          <w:color w:val="000000"/>
          <w:sz w:val="20"/>
          <w:u w:val="single"/>
          <w:lang w:val="en-US" w:eastAsia="en-US" w:bidi="ar-SA"/>
        </w:rPr>
        <w:t>In doing so, courts rely on the evidence as to what care is likely to be in the injured person's best interest.</w:t>
      </w:r>
      <w:r>
        <w:rPr>
          <w:rFonts w:ascii="arial" w:eastAsia="arial" w:hAnsi="arial" w:cs="arial"/>
          <w:color w:val="000000"/>
          <w:sz w:val="20"/>
          <w:lang w:val="en-US" w:eastAsia="en-US" w:bidi="ar-SA"/>
        </w:rPr>
        <w:t xml:space="preserve"> Then they calculate the present cost of providing that care and may make an adjustment for the contingency that the future may differ from what the evidence at trial indicates.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The resulting award may be said to reflect the reasonable or normal expectations of what the injured person will require.</w:t>
      </w:r>
      <w:r>
        <w:rPr>
          <w:rFonts w:ascii="arial" w:eastAsia="arial" w:hAnsi="arial" w:cs="arial"/>
          <w:color w:val="000000"/>
          <w:sz w:val="20"/>
          <w:lang w:val="en-US" w:eastAsia="en-US" w:bidi="ar-SA"/>
        </w:rPr>
        <w:t xml:space="preserve"> Jane Stapleton, "The Normal Expectancies Measure in Tort Damages" (1997), 113 </w:t>
      </w:r>
      <w:r>
        <w:rPr>
          <w:rFonts w:ascii="arial" w:eastAsia="arial" w:hAnsi="arial" w:cs="arial"/>
          <w:i/>
          <w:color w:val="000000"/>
          <w:sz w:val="20"/>
          <w:lang w:val="en-US" w:eastAsia="en-US" w:bidi="ar-SA"/>
        </w:rPr>
        <w:t>L.Q.R</w:t>
      </w:r>
      <w:r>
        <w:rPr>
          <w:rFonts w:ascii="arial" w:eastAsia="arial" w:hAnsi="arial" w:cs="arial"/>
          <w:color w:val="000000"/>
          <w:sz w:val="20"/>
          <w:lang w:val="en-US" w:eastAsia="en-US" w:bidi="ar-SA"/>
        </w:rPr>
        <w:t xml:space="preserve">.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w:t>
      </w:r>
      <w:r>
        <w:rPr>
          <w:rFonts w:ascii="arial" w:eastAsia="arial" w:hAnsi="arial" w:cs="arial"/>
          <w:color w:val="000000"/>
          <w:sz w:val="20"/>
          <w:u w:val="single"/>
          <w:lang w:val="en-US" w:eastAsia="en-US" w:bidi="ar-SA"/>
        </w:rPr>
        <w:t>The measure is objective, based on the evidence.</w:t>
      </w:r>
      <w:r>
        <w:rPr>
          <w:rFonts w:ascii="arial" w:eastAsia="arial" w:hAnsi="arial" w:cs="arial"/>
          <w:color w:val="000000"/>
          <w:sz w:val="20"/>
          <w:lang w:val="en-US" w:eastAsia="en-US" w:bidi="ar-SA"/>
        </w:rPr>
        <w:t xml:space="preserve"> This method produces a result fair to both the claimant and the defendant. The claimant receives damages for future losses, as best they can be ascertained. The defendant is required to compensate for those losses. To award less than what may </w:t>
      </w:r>
      <w:r>
        <w:rPr>
          <w:rFonts w:ascii="arial" w:eastAsia="arial" w:hAnsi="arial" w:cs="arial"/>
          <w:color w:val="000000"/>
          <w:sz w:val="20"/>
          <w:u w:val="single"/>
          <w:lang w:val="en-US" w:eastAsia="en-US" w:bidi="ar-SA"/>
        </w:rPr>
        <w:t>reasonably be expected to be required</w:t>
      </w:r>
      <w:r>
        <w:rPr>
          <w:rFonts w:ascii="arial" w:eastAsia="arial" w:hAnsi="arial" w:cs="arial"/>
          <w:color w:val="000000"/>
          <w:sz w:val="20"/>
          <w:lang w:val="en-US" w:eastAsia="en-US" w:bidi="ar-SA"/>
        </w:rPr>
        <w:t xml:space="preserve"> is to give the plaintiff too little and unfairly advantage the defendant. To award more is to give the plaintiff a windfall and require the defendant to pay more than is fair.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Further, as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makes clear, "[a] future or hypothetical possibility will be taken into consideration as long as it is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Referring to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N. Smith J. elaborated on these principles in </w:t>
      </w: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xml:space="preserve"> at para. 207: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[207] The court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stressed that an award for cost of future care must be distinguished from an award for loss of capacity in that it is an award for costs that may reasonably be expected to be required. For example, the fact that a particular care item is needed will not support an award where it is clear the plaintiff will not actually incur the expense or accept the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[208] An award for the cost of future care must be justified on the medical evidence, but that does not necessarily mean that each item must be specifically endorsed by a physician. In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the court of appeal noted that evidence can be accepted from a variety of health care professionals and said, at para. 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consider it necessary, in order for a plaintiff to successfully advance a future cost of care claim, that a physician testify to the medical necessity of each and every item of care that is claimed. But there must be some evidentiary link drawn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Zanatta,</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at paras. 43, 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[209] In </w:t>
      </w:r>
      <w:r>
        <w:rPr>
          <w:rFonts w:ascii="arial" w:eastAsia="arial" w:hAnsi="arial" w:cs="arial"/>
          <w:i/>
          <w:color w:val="000000"/>
          <w:sz w:val="20"/>
          <w:lang w:val="en-US" w:eastAsia="en-US" w:bidi="ar-SA"/>
        </w:rPr>
        <w:t>Penner v. ICBC</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the Court of Appeal noted that this head of damage grew out of claims for catastrophic injuries, in which they are intended to ensure that the injured plaintiff could live as complete and independent a life as was reasonably attainable through an award of damages. While future care awards are not confined to catastrophic injuries, the court said that "a little common sense should inform claims under this head, however much they may be recommended by experts in the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[210] Like the award for loss of earning capacity, the quantification of damages for cost of future is an assessment, not a precise accounting exercise, and must include adjustments for contingencies: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seeks $64,382.12 as the cost of his future care. This amount is based on the net present value of the cost of future care recommended by Mr. Pakulak, plus the net present value of the support services required by the plaintiff to carry out the landscaping and renovations he intends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claim by the plaintiff regarding the cost of landscaping and house renovations is not supported as a cost of future care. Such costs must be justifiable both as being medically required and as being likely to be incurred. I do not consider that the evidence establishes an entitlement to such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has not hired anyone to assist with household chores or yard work, and I agree with the defendant that he will likely sell the duplex and downsize to a condominium in the near future. I do not consider the estimated cost of the plaintiff's planned renovations and landscaping to be recoverable as costs of his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accept the defendant's position that the only treatment cost that the plaintiff will likely face in the future is the cost of a chiropractor. He will also be purchasing some prescription medication. Both of these costs are covered by his wife's extended medical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No award is made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provided a schedule of special damages at Tab 25 of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 also submitted a schedule with his written submission. The defendant argued that some of the special damages claimed were for the purpose of furthering the litigation and should be claimed as a disbursement along with costs after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With regard to chiropractic treatments and the related travel it is my view that the plaintiff would likely have continued with such treatments even if the accident had not occurred. The evidence does not satisfy me that the chiropractic treatments and related travel were necessitated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amounts paid for medical/legal opinions should be claimed as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the end result I accept the defendant's schedule and award the plaintiff $5,296.98 as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Extended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and his wife testified that he was entitled to benefits under her extended medical plan. All of his prescriptions, other than Pristia, are covered under her plan if they are filled at a Superstore pharmacy. His wife's plan also covers physiotherapy and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was no evidence that the plaintiff's wife paid all or a portion of the insurance cost directly or indirectly as a part of a collective bargaining agreement. Accordingly, the private insurance exception does not apply and the plaintiff is not entitled to recover amounts paid for his medical needs under his wife's plan. (</w:t>
      </w:r>
      <w:r>
        <w:rPr>
          <w:rFonts w:ascii="arial" w:eastAsia="arial" w:hAnsi="arial" w:cs="arial"/>
          <w:i/>
          <w:color w:val="000000"/>
          <w:sz w:val="20"/>
          <w:lang w:val="en-US" w:eastAsia="en-US" w:bidi="ar-SA"/>
        </w:rPr>
        <w:t>Napoleone v. Sharma</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2008 BCSC 1746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0"/>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Income:</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Income: $50,000 - $10,000</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$5,296.98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$130,296.98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VIII.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 is entitled to costs at Scale B and disbursements, subject to taxation, and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McCreight v. Currie, [2007] B.C.J. No. 152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20 - December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68242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155 A.C.W.S. (3d) 90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Sandra Marion McCreight, Plaintiff, and John Stuart Currie,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1" w:name="Keywords_15"/>
      <w:bookmarkEnd w:id="101"/>
      <w:r>
        <w:rPr>
          <w:rFonts w:ascii="arial" w:eastAsia="arial" w:hAnsi="arial" w:cs="arial"/>
          <w:b/>
          <w:color w:val="000000"/>
          <w:sz w:val="20"/>
          <w:lang w:val="en-US" w:eastAsia="en-US" w:bidi="ar-SA"/>
        </w:rPr>
        <w:t>Damages — General damages — For personal injuries — Considerations — Aggravation of pre-existing injury — Pre-existing medical conditions — Duration of loss — Employment status — Non-pecuniary damages, including pain and suffering — Loss of earning capacity — Loss of housekeeping ability — Cost of future care — Action by the plaintiff for damages caused by a motor vehicle accident allowed — The plaintiff suffered soft tissue injuries, a recurrence of post-traumatic stress disorder, and exacerbation of pre-existing depression — The plaintiff, age 43, had physical and mental ailments for ten years prior to the accident caused by a sports injury, and a criminal incident in which she was the victim — The plaintiff was awarded non-pecuniary damages of $40,000, loss of earning capacity of $20,000, loss of homemaking capacity of $8,000, special damages of $4,625 and future care costs of $15,000.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Neck — Age of claimant — 36 to 45 — Non-pecuniary award — $20,001 to $40,000 — Considerations impacting on award — Pre-existing injury — Action by the plaintiff for damages caused by a motor vehicle accident allowed — The plaintiff suffered soft tissue injuries, a recurrence of post-traumatic stress disorder, and exacerbation of pre-existing depression — The plaintiff, age 43, had physical and mental ailments for ten years prior to the accident caused by a sports injury, and a criminal incident in which she was the victim — The plaintiff was awarded non-pecuniary damages of $40,000, loss of earning capacity of $20,000, loss of homemaking capacity of $8,000, special damages of $4,625 and future care costs of $15,000.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Psychological injuries — Depression — Post-traumatic stress disorder — Age of claimant — 36 to 45 — Non-pecuniary award — $20,001 to $40,000 — Considerations impacting on award — Pre-existing injury — Action by the plaintiff for damages caused by a motor vehicle accident allowed — The plaintiff suffered soft tissue injuries, a recurrence of post-traumatic stress disorder, and exacerbation of pre-existing depression — The plaintiff, age 43, had physical and mental ailments for ten years prior to the accident caused by a sports injury, and a criminal incident in which she was the victim — The plaintiff was awarded non-pecuniary damages of $40,000, loss of earning capacity of $20,000, loss of homemaking capacity of $8,000, special damages of $4,625 and future care costs of $15,000.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2" w:name="Case Summary_14"/>
            <w:bookmarkEnd w:id="1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McCreight, for damages suffered in a motor vehicle accident caused by the defendant, Currie -- The defendant's vehicle broadsided the plaintiff's vehicle as he attempted a left turn at an intersection -- The defendant admitted liability for the accident -- The plaintiff suffered soft tissue injuries to her neck, shoulder, back and hips that produced ongoing symptoms -- She also suffered a recurrence of post-traumatic stress disorder, and her pre-existing depression was exacerbated -- The plaintiff, age 43, had suffered from several physical and mental ailments for ten years prior to the accident stemming in part from a sports injury, and a criminal incident in which she was the victim -- She was employed sporadically prior to the accident -- The accident left her unable to pursue her passion for outdoor activities and sports -- The defendant contended that the plaintiff was not functioning fully prior to the accident -- The plaintiff argued that although she had some symptoms, they were unrelated to her present difficulties and had no impact on her functioning -- HELD: Action allowed -- The injuries caused by the accident were largely resolved and were no longer a factor in the plaintiff's physical and mental condition -- In the months prior to the accident, the plaintiff's symptoms of depression, anxiety and post-traumatic stress disorder had intensified and required increased medical intervention -- She also experienced significant recurring pain in her right shoulder, back, neck and hip prior to the accident -- The plaintiff was awarded total damages of $87,625 comprised of non-pecuniary damages of $40,000, loss of earning capacity of $20,000, loss of homemaking capacity of $8,000, special damages of $4,625 and future care costs of $15,000.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3" w:name="Counsel_15"/>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1"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Terry L. Napora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Elizabeth Harris, Rachel Lammers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5"/>
      <w:bookmarkEnd w:id="104"/>
      <w:r>
        <w:pict>
          <v:line id="_x0000_s1102" style="position:absolute;z-index:2517770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ROSS J."/>
            <w:bookmarkEnd w:id="105"/>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3, 2004, the plaintiff Sandra McCreight was involved in a "T-Bone" collision when the vehicle driven by the defendant, John Currie, struck her vehicle as he was in the process of making a left hand turn at an intersection in Castlegar. Ms. McCreight's then two-year-old daughter, Makayla, was a passenger in the back seat. Makayla was secured in her car seat and did not suffer any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McCreight suffered soft tissue injuries to her neck, shoulder, back and hips. In addition, she suffered a recurrence of post-traumatic stress disorder and her pre-existing depression was exacerbated.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admitted liability and there was no issue with respect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central matter to be determined was the quantum of damages. Ms. McCreight claimed damages for non-pecuniary loss, loss of earning capacity and homemaking services, special damages and future care costs. In the years prior to the accident, Ms. McCreight suffered from a number of medical conditions that affected her mental and physical well-being. Accordingly, a central issue to be determined is the extent to which Ms. McCreight's current and future condition is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McCreight is 43 years old. She grew up in the Penticton area and moved to Castlegar in 1994. Ms. McCreight completed Grade 12. After high school, she took a course in make-up artistry and worked in the cosmetology field for two years. She then started office work. Between 1988 and 1994, she worked for a number of firms as a receptionist, office administrator and new business clerk. She completed some further training in 1999 to upgrade her computer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1993 and 1994, Ms. McCreight was the victim of stalking that culminated in an assault. The events and subsequent criminal proceedings were very traumatic for Ms. McCreight. As will be discussed in greater detail later in these reasons, Ms. McCreight developed post-traumatic stress disorder. She suffered from stress, anxiety and depression and was forced to leave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McCreight moved to Castlegar. She met, and shortly after, married Brian McCreight in 1995. They have two daughters, Miranda, who was born in November 1997 and, Makayla, who was born in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McCreight was out of the workforce for much of the period from 1994 to the date of the accident. She had been employed in 1994 in Penticton as a new business clerk for Investors Group. She took medical leave from this job due to stress in June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1995, she obtained a temporary part-time position as one of the board members of the Castlegar Court of Revision. In November of that year, Ms. McCreight obtained a full-time position as a dispatcher/administrative clerk with Twin Rivers Controls and Refrigeration. She left this job in September 1996 due to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McCreight remained out of the workforce until June 1999. During this interval, Miranda was born and Ms. McCreight remained at home as a full-time homemaker. In June 1999, Ms. McCreight began working part-time for Columbia Power. Her position involved a variety of clerical duties. She remained with Columbia Power until April 2001 when she left to have her daughter Makayla.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McCreight suffered form postpartum depression following Makayla's birth that was severe enough to require a period of hospitalization. In the course of her recovery, she started doing volunteer work in the field of mental health. This ultimately led, in April 2004, to employment as a mental health advocate. This was a part-time position for which she was paid an honorarium of $200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McCreights chose to have a more traditional family. Mr. McCreight had the primary role of breadwinner. Ms. McCreight kept the home and looked after their daughters. The family was, however, under economic pressure. In April 2004, Mr. McCreight's home based delivery business declared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the accident, Ms. McCreight enjoyed many outdoor activities such as camping, hiking, and boating. Her passion was baseball. She loved the sport and was an excellent player. She played in a recreational league. During the season, which lasted from April to September, she played a number of games each week in addition to several weekend tournaments.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PRIOR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McCreight's medical condition prior to the accident proved to be a central issue in the litigation. Plaintiff's counsel took the position that, although Ms. McCreight did have some symptoms in the neck and back prior to the accident, and some history of psychological difficulty, such symptoms had little or no impact on her functioning and were unrelated to her present difficulties. Defendants counsel took the position that Ms. McCreight was not functioning fully prior to the accident. In fact, counsel submitted that both her physical and mental were deteriorating in the months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consideration of Ms. McCreight's condition prior to the accident was complicated by the fact that Ms. McCreight proved to be a poor historian. At trial, she was unable to recall her medical history prior to the accident with any accuracy. Her memory was not refreshed by a review of entries in the clinical records. Mr. McCreight was also a poor historian in this regard. He was unable to recollect events that formed a prominent part of the clinical records. His memory, for example, of the circumstances of prior hospitalizations was sketchy and unreliable. I did not form the view that Mr. and Ms. McCreight were dishonest witnesses. However, I did conclude that their evidence in this respect was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 result, certain clinical notes and hospital records were admitted as business records for their truth based on the exception to the hearsay rule that allows for the admission of declarations of bodily feelings and condition, see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2005 BCSC 1751</w:t>
        </w:r>
      </w:hyperlink>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51 B.C.L.R. (4th) 386</w:t>
        </w:r>
      </w:hyperlink>
      <w:r>
        <w:rPr>
          <w:rFonts w:ascii="arial" w:eastAsia="arial" w:hAnsi="arial" w:cs="arial"/>
          <w:color w:val="000000"/>
          <w:sz w:val="20"/>
          <w:lang w:val="en-US" w:eastAsia="en-US" w:bidi="ar-SA"/>
        </w:rPr>
        <w:t>. From those records, the testimony of Doctors Krabbe and Knox, Wendy Makortoff, a massage therapist, and Steven Horvath, a clinical psychologist, supplemented by what the McCreight's could recall, the following history emerges.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McCreight started attending the Castelgar Medical Clinic in mid-1994. In July of that year, she reported that in 1993 she had experienced a four month period of depression. She reported that she had been on medical leave from her work since June 30 of that year. She complained of stress, memory problems, sleeping problems, fainting and dizzy spells, anxiety and depression, and pain in her right neck and back. The clinic chart notes an impression of anxiety and depression, for which she was started on Prozac, and muscular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was still off work and reporting complaints of nightmares, anxiety and depression in August and September, although she was seeing a counsellor and reporting some improvement. Her family doctor referred her to a psychiatrist, Dr. Magee.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Magee noted reports of increasing distress, depressive symptoms, panic episodes, and nightmares related to the assault and stalking episode that had occurred in April 1993. Ms. McCreight reported symptoms of hyper-vigilence and having disrupted sleep. She had fleeting thoughts of suicide, but with no plan. Ms. McCreight reported experiencing tachycardia and presyncopal episodes, and that she was experiencing an increase in symptoms and was unable to manage at work. Dr. Magee's diagnosis was post-traumatic stress disorder and possibly major depression and panic disorder. He prescribed Paxil and later Desyrel which is an anti-depressant medication that aids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McCreight saw Dr. Magee again in December, 1994, at which time she reported increasing depression and anxiety. On Dr. Magee's recommendation, her family physician submitted a request for intensive group therapy. The presenting problems were noted to be post-traumatic stress symptoms, anxiety, depression, and panic attacks. The file notes that Ms. McCreight was accepted into the program, but decided not to attend the group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An application was made by Ms. McCreight's family physician for long-term disability for Ms. McCreight in January by reason of post-traumatic stress and issues relating to the tachycardia. Ms. McCreight was still off work. Ms. McCreight's file notes that in February she was still reporting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McCreight went back to her doctor in July with complaints of a sore right shoulder related to playing baseball. In October, 1995, her chart reflects more complaints of panic attacks, anxiety and post-traumatic stress. As a result of these symptoms, she was referred to Mr. Horvath, a clinical psychologist, in November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Horvath's preliminary diagnostic impression was adjustment reaction with depressed mood. He later changed his diagnosis to post-traumatic stress disorder. He referred Ms. McCreight to the Criminal Injury Compensation office for counselling. Ms. McCreight reported feeling depressed and having acute and chronic stress, suffering the after effects of the stalking and assault episode. Ms. McCreight described having a disturbed sleep pattern with nightmares, decreased appetite, decreased energy and sex drive, and problems with concentration and short-term memory. She reported that she was continuing to experience heart palpitations with stress. Ms. McCreight was still off work. She reported that she had stopped taking medication for her symptoms of depression because she was trying to get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March 1996, Ms. McCreight was back to her doctor with complaints of pain in her right buttock. There was no reference to any cause of the pain. Her doctor referred her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May, 1996, Mr. Horvath prepared the discharge summary in which he recorded his diagnosis of post-traumatic stress disorder. Later that month, Ms. McCreight attended at emergency for problems with her right shoulder associated with baseball. She was given a referral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1996, Ms. McCreight presented at her family physician with complaints of tension headaches, stress, and fainting at work. Anxiety was suggested as the possible cause of the fainting and dizzy spells. She was now back at work, but reported in October that she had decided to quit her job. Ms. McCreight agreed that she left this position due to stress. Ms. McCreight's family doctor referred her to a counsellor for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was given a medical referral for massage therapy for neck pain and headaches. The treatment commenced with Wendy Makortoff, a registered massage therapist, in October 1996. Mr. McCreight attended a total of six sessions, ending December 17, 1996. Ms. Makortoff noted at the outset a decreased range of motion in the neck and muscle spasm. Ms. Makortoff felt that the treatment progressed well and resulted in improvement. At the first session, Ms. McCreight noted on the history that she was experiencing right side neck and back pain and constant all over headaches. She noted that the onset was sudden, that she had just woken up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McCreight was back at her doctor in November, reporting muscular pain in her neck and back that had been ongoing for months. She reported complaints of headache, fatigue, lack of energy, poor memory and concentration. There was no reference to injury or acute trauma to account for the symptoms. Fibromyalgia was suspected. Her chart makes reference to a diagnosis of depression. Ms. McCreight had stopped attending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massage therapy file notes pain in Ms. McCreight's right arm on the November 4th visit. The November 12th entry notes back and neck spasms with increased pain in the right shoulder. The November 18th entry notes pain in the glutes and headaches. Ms. McCreight reported that she was unable to walk because of body pain. There is a note as well of pain in the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are further references to depression and possible fibromyalgia in the medical chart in December. In the massage therapy chart for December, there is reference to pain behind the knees and a stiff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February, 1997, Ms. McCreight was still off work and reporting to her doctor that she was not experiencing much improvement. However, she reported that she was contemplating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McCreight went back to the massage therapist for a second series of treatments that commenced August 14, 1997, and ended October 9, 1997. Ms. McCreight was now pregnant and experiencing low back pain and some swelling in her ankles, feet, and legs. The massage therapy was directed at these symptoms. The file entry for August 27, 1997, notes treatment to the right side lumbar region. The treatments in September were primarily for low back pain with one session for low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McCreight's first daughter, Miranda, was born in November 1997. Her pregnancy was normal and relatively uneventful. She had a difficult, but otherwise uneventful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September, 1998, Ms. McCreight's family clinic chart reflects complaints of stress, crying, not sleeping, lack of pleasure, problems with concentration and memory, and decreased libido. Ms. McCreight also reported sharp pain in her right shoulder that was not brought on by any identifiable cause. Ms. McCreight completed the Burns Depression check list and her doctor noted moderate to severe depression. She was prescribed Prozac. In November of that year, the chart notes continuing depression and that Ms. McCreight wanted to stop taking Prozac, but was warned of the risks associated with stopping too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McCreight was back for another session of massage therapy commencing November 18, 1998, and concluding January 20, 1999. There was no specific complaint with respect to this series and no doctor's referral. She was treated for neck, low back and hip pain on November 18th and December 2nd. The December 9th treatment was for right hip and mid-back pain. The rest of the treatments in that series were for neck, back and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March 1999, Ms. McCreight was admitted to hospital with severe shooting pain in her neck and right thoracic, and lumbar back, and hips. No trigger was noted as a cause of the pain. The pain in her neck was such that she was admitted to hospital. The discharge summary notes that she fainted twice in hospital due to the degree of her discomfort. She was given a referral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April of that year, she attended emergency with complaints of pain in her neck and back, not connected to any injury, with reduced range of motion and body aches everywhere. She then attended at her doctor who noted limited range of motions, secondary to pain in her neck and recommended physiotherapy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McCreight attended again at emergency in October of that year, reporting that she had passed out from pain in her back. She attended her doctor several times that month with reports of persistent back pain. A bone scan was done which was essentially normal with some uptake in the right shoulder, suggesting some degeneration in the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McCreight's second daughter, Makayla, was born in July 2001. She experienced an incapacitating postpartum depression following the birth. The events of 9/11 intensified her symptoms. She started to have "visions" of terrible things happening to her daughter. She sought help from the public health nurse and her doctor who prescribed Celexa in September. However, her symptoms worsened and Ms. McCreight admitted herself into the Daly Pavilion, a psychiatric ward at the Trial Regional Hospital on December 14, 2001. On admission to the ward, she reported that she was tearful, having difficulty sleeping, and anxious. She reported having disturbing visions of terrible things happening to 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McCreight was discharged from the Daly Pavilion on December 21, 2001. A short while later she experienced a significant set-back. It was concluded that she would not need to be hospitalized again if she had 24/7 assistance available, and as a result, she and the children moved in with her brother-in-law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McCreight was involved in a motor vehicle accident in August 2002. Following the accident she attended for 21 sessions of massage therapy commencing September 11, 2002, and concluding December 19,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presented with many areas of pain; her entire back, neck, head, all of which were the focus of the treatments. In the client history she provided, Ms. McCreight reported daily headaches, cold hands and feet, being under severe stress, attending counselling, and seeing a psychiatrist. The treatment notes for September make reference to restricted range of motion in her neck and continuing muscle spasm with no lasting relief from the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treatment notes for October make reference to sore trapezeis, headaches three to four days per week, more severe lumbar pain at night affecting sleep, right hip pain, and a sore right shoulder. The note for October 24th refers to shoulder pain, headaches, now increased fatigue, shortness of breath, heart palpitations, and visual disturbances. The last entry for October records a sore lumbar spine and right shoulder, and low back muscle spasms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treatment notes for November reflect continuing pain and spasms. The note for November 14th record that her pelvis was misaligned. This was followed by a postural assessment on November 21st, at which time the notes refer to an obvious problem at L4-L5. The treatment notes for the December visits note pain in the shoulders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January 2003, Ms. McCreight attended at emergency with heart arrhythmia. The file notes that she was seeing a counsellor for mental health issues. In April of that year, she saw Dr. Knox at the clinic and reported having experienced back pain for a week. The file notes some scoliosis, spasms and extreme tenderness at L4 and L5.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McCreight injured herself paying softball in May 2003 and returned for another session of massage therapy. This consisted of ten treatments that started on May 8, 2003, and concluded on December 11, 2003. The focus of this course of therapy was low back pain. Ms. McCreight advised the massage therapist that the pain in her back had been so severe that it caused her to fall to her knees. She also complained of pain in her right sacroiliac ("SI") joint, right shoulder, and upper back during the visits between May and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McCreight was back to see Dr. Knox in September 2003. The file notes depression and the doctor recommended day-care coverage to provide assistance. In October, Dr. Knox's notes reflect reports from Ms. McCreight of mental health issues, stress, nightmares, and poor sleep. Dr. Knox's impression was depression secondary to financial concerns. She prescribed sleeping medication. Later that month, Dr. Knox notes that Ms. McCreight was depressed with suicidal ideation, but no plan. Dr. Knox's impression was that she had an adjustment disorder. She was given a referral to a psychiatrist with a view to changing her medication. In November, Ms. McCreight returned to Dr. Knox with continued reports of nightmares. Her mood was still down, but she was seeing a mental health counsellor and sleeping better than six months previous. Later that month, she reported pain in her shoulders. Dr. Knox noted biceps tendonitis, back spasms.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massage therapy sessions held between September and December of that year, Ms. McCreight reported that she was suffering from increased stress and depression and was receiving counselling. She continued to complain of back pain that was consistent and interfering with her sleep, and pain in her right shoulder and neck. The treatment notes make reference to muscle spasms and conclude in December with the entry that Ms. McCreight's body was resistant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January 7, 2004, Dr. Knox's notes indicate that Ms. McCreight reported depression since the birth of her daughter and recurrence of low back, hip, and right shoulder pain that had been much worse in the preceeding few days. She returned on January 12, 2004, with complaints of pain in her right shoulder, right knee, bilateral hip pain, and low back pain. Ms. McCreight reported that she was experiencing disturbing visions and flashbacks related to sexual abuse that she had suffered as a child. She was receiving counselling for her mental health issues. Dr. Knox queried possible fibromyalgia. Her diagnostic impression was depression and possible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February 5, 2004, Ms. McCreight was back at the doctor reporting pain in her hips, shoulder, and right knee. No cause for the pain was noted. The file notes that she was depressed. Dr. Knox performed tests for lupus in connection with the pains Ms. McCreight was experiencing. These tests were negative. There was another visit to Dr. Knox on February 24, 2004. This time the file notes neck and back pain with slight decreased range of motion and muscle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March 15, 2004, Ms. McCreight was back to see Dr. Knox with complaints of pain in her leg for the past nine days. Now she was experiencing low back pain. She told Dr. Knox that her pain was currently 6/10, but that it had been 9/10. She reported that she was having trouble walking because of her pain. There was no trigger to explain the onset of the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March 19, 2004, Dr. Knox submitted a request for day-care because Ms. McCreight's medical condition interfered with her ability to look after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Knox testified she can't recall for certain her reason for this referral, but believed that it was the combination of Ms. McCreight's long standing mental health difficulties combined with her complaints of pain. The dates noted in the request are from March to August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McCreight returned to Dr. Knox on March 25, 2004, with reports of constant leg pain. She was referred to Dr. Segal, a specialist in internal medicine and rheumatology.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April 13, 2004, Ms. McCreight was back to see Dr. Knox. She reported a recent scare with respect to her daughter that had given rise to a "meltdown" followed by disturbing visions. Dr. Knox's impression was anxiety. She prescribed medication for anxiety and gave Ms. McCreight a referral to Dr. Britto, a psychiatrist, for counselling. Ms. McCreight was seeing Dr. Ishmael, another psychiatrist, at the time, but Dr. Knox felt that Dr. Britto took a more therapeutic and less clinical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Ms. McCreight had been struggling with depression, anxiety and post-traumatic stress disorder for at least ten years prior to the accident. Ms. McCreight had been prescribed various medications to deal with these issues for much of this period. The struggle with mental health issues was clearly ongoing and not confined to two separate incidents, one in 1994 and the second related to post-partum depression in 2001, as suggested by Ms. McCreight. These conditions caused Ms. McCreight to leave her employment in 1994, 1995, and again in 1996. I find that in the months prior to the motor vehicle accident, the symptoms of depression, anxiety, and post-traumatic stress had intensified, resulting in increased medical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Ms. McCreight also suffered from ongoing problems with pain in her right shoulder prior to the motor vehicle accident. The problem first presented as an injury related to baseball in the summer of 1995. There was another complaint in the summer of 1996 again related to an injury associated with baseball. However, later reports of right shoulder pain, for example in the winter of 1996, and then in 1998, 1999, 2002, 2003, 2004, were not associated with an injury or specific trigger. The complaints were serious enough to cause Ms. McCreight to seek treatment. I conclude that Ms. McCreight was experiencing significant chronic pain in her right shoulder, requiring medical intervention,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further that prior to the motor vehicle accident, Ms. McCreight had a history of chronic low back and neck pain unrelated to specific injury. These problems had required medical intervention, including medication, referral to massage therapy, and, on occasion, hospitalization. These problems were first noted in 1996. They continued to be a concern through 2004 in the months prior to the accident. Dr. Knox suggested that Ms. McCreight's musculoskeletal problems prior the accident were limited to vague unspecific aches in contrast to the specific pains at specific sites after the accident. I find that Dr. Knox is mistaken in her impression, and that it is clear from the totality of the evidence that, prior to the motor vehicle accident, Ms. McCreight had musculoskeletal problems requiring medical intervention at the specific sites that were problematic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further that Ms. McCreight had experienced problems with her right hip requiring medical intervention prior to the motor vehicle accident. This problem, while recurring, did not appear to have been as incapacitating as the low back and neck problems. Dr. Knox suggested that Ms. McCreight did not have any problems in this area before the accident; however I have concluded on a review of the totality of the evidence, that she is mistaken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I find that prior to the accident Ms. McCreight suffered from recurrent headaches for which she sought medical treatment. The headaches were not, as Ms. McCreight suggested, confined to her pregnancies, but represented a problem that had been recurring since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McCreight was wearing her seat belt at the time of the accident. Her vehicle was struck on the driver's side. The driver side of the vehicle was dented and the window smashed, she was knocked sideways, striking the centre console. She was very fearful for her daughter, who was in the back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McCreight was taken to the hospital after the accident. The hospital record of her attendance on this occasion notes pain in the left hip, left shoulder neck and back right intrascapular and right buttock. Her X-rays were essentially normal. She was advised to use anti-inflammatory medication,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was released from hospital and her in-laws took her home. She went to bed where she remained for most of the time for the next several days. She found it very difficult to move. Mr. McCreight's parents, who live down the block, looked after the home during the day while Mr. McCreight was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McCreight attended Dr. Knox on May 4, 2004, reporting considerable pelvic and hip pain, pain into the right mid-thigh and across the chest. She returned to Dr. Knox on May 11, 2004, complaining of sacral pain, worse with sitting and standing, radiating into the right groin. Dr. Knox noted that she had tenderness at L4 and L5, and the right SI mid-sacrum was tender. Dr. Knox ordered a bone scan to rule out fracture. The bone scan was done on May 28, 2004, and was also essentially normal, except for increased uptake in the right AC thought to be degenerative.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McCreight commenced massage therapy on May 6, 2004, consisting of 41 treatments from that date to December 16, 2004. The focus of the treatment was for back and pelvis pain following the motor vehicle accident. The therapist noted that she had become very sensitive to pressure and the therapist could no longer use the deep tissue massage technique that she had used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McCreight resumed her advocacy activities after about two weeks. At first she worked from home, doing most of her work by telephone and taking frequent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July 2004, Ms. McCreight reported to the massage therapist that she had pain in her right SI and hip, tenderness at L4-L5, and pain in her right hip and low back. She reported to Dr. le Nobel that she had been able to return to playing baseball, although her participation was not up to her previous level. She found she was able to run, but had more difficulty walking. She reported that she was not able to manage yard work. Dr. Knox saw Ms. McCreight on July 30, 2004. Dr. Knox noted right SI joint pain, hip pain, and leg pain. Ms. McCreight attended Dr. Krabbe, a physician who also practiced at the Castlegar Medical Clinic, on August 24, 2004 reporting that she felt she was going backwards because of poor sleep, pain and visions concerning the accident. She had been attending physiotherapy and massage therapy. On examination, Dr. Krabbe found a tender right SI joint and a muscular spasm in the lower back. Medication was prescribed for pain relief and inflammation and Dr. Krabbe suggested she continue with massage therapy if she was benefiting from it. Ms. McCreight was referred for counselling. She attended Dr. Krabbe again on August 31, 2004, at which time they discussed a referral to a psychologist. She reported that she was coping; the medication was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September 1, 2004, Ms. McCreight began a course of treatment with Mr. Horvath, a clinical psychologist, for symptoms of post-traumatic stress consequent to the motor vehicle accident. The treatment was successful. She had her final session with Mr. Horvath on January 7, 2005. Her target symptoms, the sleep disturbances and "visions" were under control. They agreed to terminate the sessions, leaving Ms. McCreight free to make contact again if she felt the need. She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McCreight returned to Dr. Krabbe on September 9, 2004, reporting that she was doing worse. She complained of pain in her right flank and lower back. She said that she couldn't tolerate massage. She reported that she had taken a chiropractic treatment that hadn't helped her pain. On examination, she had a tender SI joint and right back. She was referred to Dr. Craig, a physiatrist. An anti-depressant was prescribed to assist with her pain and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September 29, 2004, Ms. McCreight returned to Dr. Krabbe reporting that she had been doing better emotionally until a traumatic event involving her daughter. She wasn't tolerating the anti-depressant medication and reported that the massage therapy was increasingly painful. She reported that her right hip would pop out. She was put on a trial of new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McCreight saw Dr. Knox on October 26, 2004, and reported lower back pain and neck pain. The pain was worse since the weekend. She said that she hadn't improved. Dr. Knox noted that she was very tender over the SI joint and ordered a test to rule out any rheumatological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McCreight was again seen by Dr. Craig on October 28, 2004. At that time she reported pain in her back, right hip, and leg. She reported that the pain was radiating down the back of her thigh. She reported that the pain had started in August after physiotherapy and that her legs felt heavy. She did not report that she had experienced these problems prior to the motor vehicle accident. She did not report problems with her right shoulder. Her gait was normal and she had normal range of motion in the hips. Dr. Craig performed a FABER test, which is used as one measure of identification of problems with the SI joint. The test did not reveal problems with the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was Dr. Craig's impression that the pain was originating through the muscle. He recommended exercise, regular physical activity, and medication for pain and inflammation. He advised Ms. McCreight that she would experience some flare up of her symptoms as she became more active. His working diagnosis was of a back injury possibly involving a disk, ligament, or the muscle. He considered there was a possible SI injury, but that was a lower differential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McCreight returned to Dr. Knox on November 10, 2004. She reported an improvement of 10-15 per cent in her pain, although there had been a set-back with the physiotherapy. Dr. Knox's impression was of mechanical back pain. She was concerned that the physiotherapist was not taking a sufficiently active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December 1, 2004, Ms. McCreight returned to Dr. Krabbe. She reported that she was doing better and feeling well. Ms. McCreight had her final visit with the massage therapist in December. She reported some flare up of symptoms, but stated that she felt a 65 per cent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December 2004, Ms. McCreight started part-time work as a sales associate with Mark's Work Warehouse. She worked three to four days a week on average. Mark's was very short staffed at the time and Ms. McCreight explained that she took the job to help out a friend who was a manager at the store. She performed very well in the job; however she found that some aspects of the work caused flare ups of her pain. In particular, she had difficulty with repetitive loading and unloading, or lifting. Her supervisor accommodated her difficulties by assigning her to other duties when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returned to Dr. Craig on January 6, 2005. On that visit, she reported problems with drowsiness, likely the result of the medication. She said that she had been exercising regularly and was back at work. She reported some flare up of symptoms, and continued pain in the back, right hip, and thigh. She reported that the pain was making it difficult to do her job. Dr. Craig adjusted her medication and recommend exercise, particularly exercises to strengthen her core muscles which stabilize the lower back. He told her to keep active and did not recommend that she quit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January 2005, Ms. McCreight started working as a volunteer in the reception area of Castelgar and District Community Services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McCreight attended Dr. Knox in February. She reported that she was still experiencing hip pain, but was doing better. Her depression was still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returned to see Dr. Craig on March 10, 2005, at which time he performed injections of local anaesthetic into trigger points in the right shoulder. He described this procedure as both diagnostic and therapeutic. Ms. McCreight had not told Dr. Craig that the problems with her shoulder pre-dated the motor vehicle accident. She was seen by Dr. Knox on March 11, 2005, at which time she reported shoulder and hip pain. She reported to Dr. Knox that she was walking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McCreight returned to see Dr. Craig on March 31, 2005, at which time she reported that she had experienced some relief in the right shoulder from the injections, but that the injections had not helped the bicep tendon. Dr. Craig felt that the continuing problems associated with the right hip suggested problems with the SI joint. He performed certain tests that suggested dysfunction of or injury to the SI joint. He repeated the FABER test that was now positive. This was a new finding since October 2004. Dr. Craig said that Ms. McCreight did not report to him that she had fallen on ice on January 21, 2005, and experienced pain after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April 2005, Ms. McCreight lost her volunteer advocacy position through restructuring in the sponsoring agency. She was now working two to three days a week on average at Mark's Work Wearhouse.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the next visit to Dr. Craig on April 8, 2005, injections guided by X-ray were done into the SI joint. Ms. McCreight reported a couple of days of relief following the injections. However, on April 14, 2005, she reported a dramatic increase in hip pain. Dr. Craig was concerned that the flare up might be a complication from the injections and ordered a bone scan to check for infection. He also adjusted her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April 21, 2005, Ms. McCreight reported to Dr. Craig continued pain that was increased with walking, sitting and standing. The etiology of the pain was not clear, but she was receiving some benefit from the pain medication. Bone scans were conducted on April 26 and again on May 28. These were essentially normal and ruled out the possibility of infection in the SI joint. On May 2, 2005, Dr. Craig advised Ms. McCreight that her bone scans were normal, that she should be increasing her activity. It was his impression that the problem was with the muscles and referred Ms. McCreight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McCreight was next seen by Dr. Craig on May 17, 2005. She was still reporting pain in the right hip. However, she had improved with the physiotherapy. He recommended that she restart massage therapy and continue with the program he had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McCreight returned to Dr. Craig on June 22, 2005, and reported a marked improvement in both pain and daily function. On this visit there was some snapping sensation in the groin and outer hip. Dr. Craig thought this was the result of muscular tightness in the hip girdle and recommended that she continue with her physiotherapy. Ms. McCreight was seen by Dr. Knox on June 28, 2005. On this visit she reported that she was doing well, her mood was excellent. Dr. Knox reduced the dosage of Paxil.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McCreight returned to see Dr. Craig on July 12, 2005, reporting an acute flare up in her right hip associated with loading and unloading boxes at work. She also reported pain while paying baseball. Dr. Craig noted that she was continuing to benefit from her medication and making gradual improvement. He recommended that she continue with the treatment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McCreight returned to Dr. Knox on August 8, 2005, with complaints of ongoing pain in the lower back and right hip that she felt had been brought on from loading and unloading boxes at work. She saw Dr. Knox again on September 2, 2005 complaining of right SI joint pain. Dr. Knox considered a referral to a rheumatologist.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September 2005, Ms. McCreight secured a contract to act as Coordinator for the British Columbia Community Response Network. This is a part-time position involving organization and coordinating of individuals and groups dealing with abuse, neglect, and self-neglect of vulnerable individuals in the community. The contract entailed about seven hours a week, in addition to which Ms. McCreight did additional work as a volunteer. She was still working two to three days per week, or perhaps less, at Mark's Work Wearhouse.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October 2005, Ms. McCreight began working as a paid part-time receptionist for Castelgar &amp; District Community Services Society. She continued to work part-time as a volunteer in reception as well. She has continued in both these positions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returned to Dr. Craig on November 2, 2005. Ms. McCreight reported flare ups of pain associated with repetitive motions. An MRI was done and the results were essentially normal. Her medication was adjusted. Dr. Craig recommended an exercise program that focused on the rotator cuff, ball exercises to strengthen the core and exercises for the hip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McCreight quit her job at Mark's in December 2005. I find that the reason she left that position was not that she was unable to do the work because of her injuries, but because she had found work that she loved in the field she wanted to pursue, mental heath.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January 2006, Ms. McCreight secured another contract acting as the Coordinator for the Community Food Action Forum. Her job involves organizing a committee to deal with food security issues. This position also requires about seven hours work a week. In addition, Ms. McCreight volunteers additional hours. I find that with this contract, Ms. McCreight was by this stage working the equivalent to full-time hours. She has also continued that with this position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February 2006, she reported to Dr. Krabbe that she had experienced a flare up of back pain. She was very tender in the lower spine, right SI joint, and right buttock. The flare up had followed Ms. McCreight's involvement in a recent fund raiser. Her medication was altered. She had a follow-up visit on March 14, 2006, at which time her medication was reviewed. She discussed her concerns about the future; could she play baseball? She was tender on examination and the doctor felt that she had a rotation in her pelvis. Her medication was changed. Dr. Krabbe recommended that she not play baseball and recommended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McCreight returned to Dr. Krabbe on May 10, 2006. They discussed changing her medication. Dr. Krabbe recommended aggressive therapy for pain relief and improvement. Ms. McCreight returned to the doctor on June 20, 2006, complaining of right hip pain. She reported that she had been going to the gym and that she was becoming stronger. She was seen again on August 28, 2006, at which time her medication was reviewed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September 18, 2006, Ms. McCreight attended her first physiotherapy session with Damien Moroney. She had been referred to Mr. Moroney for treatment in relation to her SI joint following an assessment by another physiotherapist. Mr. Moroney took a history and evaluated the right SI joint using a number of tests. He stated that she did not report to him any of the problems she had been having in the time prior to the motor vehicle accident. However, he testified that his focus was with how she presented on that day regardless of the history. How she presented was what he had to deal with. He observed difficulties on the right side and numerous points of tenderness on palpation. His treatment plan focussed on teaching Ms. McCreight to recruit different muscles to alleviate the problem and relation strategies to settle down the flare-ups. She attended in September on the 21st, 26th and 29th. At one of these visits, she was given an SI stability belt to wear to help stabilize the area until she is able to develop sufficient motor control, endurance and stability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McCreight attended further sessions on October 4th, 6th and 24th. Mr. Moroney re-evaluated her tests and noted improvement in her dynamic control at the SI joint. By the October 24th visit, Ms. McCreight was reporting that she felt improvement in her mobility and decreased pain. She said that she could sit and walk better and longer, and her limp had improved. Mr. Moroney observed marked improvement in her weight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McCreight attended twice in November, on the 9th and 16th. She reported a flare up at the first visit following an all day event associated with her work. However, on the next visit she reported that she had been better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attended emergency on September 28, 2006, in relation to a migraine, and again on October 1, 2006, with the same complaint. Dr. Krabbe noted that Ms. McCreight had a history of migraine. In this case, the inciting factor was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le Nobel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John le Nobel, a specialist in physical medicine and rehabilitation, examined Ms. McCreight on July 2004, and March 2006 and produced two reports dated August 10, 2004, and September 19, 2006. In the first report, Dr. le Nobel noted that Ms. McCreight continued to suffer from neck restriction, pain in her upper back and right shoulder girdle, low back and buttock pain, and pain and tenderness around her right hip at the bony trochanteric prominence, which had features of trochanteric bursitis. He recommended pain block injections to the right acromioclavicular joint, and injections of local anaesthetic and corticosteroid to the tender area at the bony trochanteric prominence. He also recommended a programme of strengthening exercises for the cervical spine, low back, and right hip abductor muscles. He also recommended further assessments be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expresses the following opinion in his second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information, Sandra McCreight continues to suffer, subsequent to the May 3, 2004 motor vehicle accident, from diffuse musculoskeletal pain. She has pain and restriction and tenderness through the cervical spine, in keeping with symptomatic cervical spondylosis. She has headaches, consistent with cervicogenic headache, or pain referred to her head from the cervical spine. She is sore around the right shoulder and right shoulder blade, in keeping with pain generated in the right shoulder acromioclavicular joint. She has numbness into her left upper limb. She has clinical assessment features of nerve impingement at the thoracic outlet (space between the collarbone and the first rib, through which nerves and vessels pass en route between the trunk and limb). She has pain in the low back, and tenderness in the low back, spinal column, made worse by changes in posture and aggravated by changes in position.) She has restriction of right hip range of motion, and pain aggravation with right hip motion, with features consistent with deconditioning, with tightness of the right hip flexor muscles. She has experienced weight gain, loss of soft tissue flexibility, and loss of cardiovascular fitness, on account of activity restriction because of pain subsequent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felt that it was reasonable to expect some further improvement in her symptoms, but that her prognosis was guarded with respect to resolution of her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le Noble testified that he based his opinion on causation on the history Ms. McCreight provided to him, namely, that she was symptom free and healthy from a musculoskeletal point of view, injury free and on no treatments prior to the motor vehicle accident, and functioning well at home, on the job, and in her recreational activities. I have found that this is not an accurate picture of Ms. McCreight's status prior to the accident. Accordingly, Dr. le Nobel's opinion with respect to causation and the contribution of the motor vehicle accident to Ms. McCreight's present condition is not as helpful as it would otherwise have been.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Rhonda Shuckett is a specialist in internal medicine and rheumatology. Dr. Shuckett examined Ms. McCreight in July 2006 and prepared a report dated July 10, 2006. Her diagnosis was that Ms. McCreight was suffering from:</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or connective tissue injury of the neck mainly affecting the right side of the neck;</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Mysofascial pain syndrome of the right neck and shoulder girdle region;</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injury to right sacroiliac joint/ligaments with severe tenderness over the mid joint area of the right SI;</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hip tenderness in the groin as well as the trochanteric bursa with stress pain of right hip;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hip tenderness in greater trochanter and iliolumbar ligament.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Shuckett stated in her opinion that Ms. McCreight does not suffer from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Like Dr. le Nobel, Dr. Shuckett was also not aware of the full details of Ms. McCreight's prior medical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Todd Kettner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Kettner is a psychologist who prepared a report dated August 31, 2004. It was his opinion that the motor vehicle accident resulted in a post-traumatic stress disorder and a recurrence and exacerbation of a major depressive disorder. Dr. Kettner was also not aware of certain important details in Ms. McCreight's history, for example, that she had been previously diagnosed with post-traumatic stress disorder. It was his impression that, prior to the motor vehicle accident, Ms. McCreight had manifested some symptoms consistent with post-traumatic stress disorder, but that no diagnosis had been made. In fact, this is not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 David McDougall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McDougall is a physician with special expertise in the area of occupational health. He prepared a report following his examination of Ms. McCreight in October 2006. Dr. McDougall had the benefit of a more complete medial history in preparing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was Dr. McDougall's opinion that Ms. McCreight suffered the following injuries in the motor vehicle accident: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her neck, a whiplash associated level II disorder;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blunt chest and abdominal wall compression injury from the seatbelt which has now resolved;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hip pain which has also resolved and which was also likely related to seatbelt compression;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deep muscular bruise to the right posterolateral buttock, lateral hip abductors and flexor musculature.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was his opinion that there was no evidence of bony or neurologic injury. He was of the opinion that Ms. McCreight suffers from pre-existing right acromioclavicular degenerative osteoarthritic changes consistent both with her medical history and long and aggressive athletic history in baseball.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was his opinion that the right posterolateral buttock and hip pain would continue to be symptomatic, but that there was no medical reason that Ms. McCreight should be restricted in her activities of daily living or in her occupation. He was of the opinion that there was no current pathology in the cervical spine that is relevant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recommended that Ms. McCreight participate in a six week athletic therapy training program followed by a home-based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principles to be applied were articulated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466-468. I summarize those principles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of a balance of probabilities, that the defendant caused or contributed to the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the general test for causation. Where this test is unworkable,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injury; so long as it is a material cause, the defendant will be liable;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apportionment between tortuous and non-tortuous causes;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to be restored to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Therefore, the defendant need not compensate the plaintiff for the debilitating effects of pre-existing conditions which the plaintiff would have experienced anyway;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measurable risk that a pre-existing condition would have detrimentally affected the plaintiff in the future, that must be taken into account and the award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order to apply these principles to the circumstances of the case at bar, one must consider the plaintiff's pre-accident position and how that differed from her condition after the accident. As stated earlier, that task is complicated in the case at bar, first, by the fact that Ms. McCreight is a poor historian. Since she had only a weak and unreliable recollection of her pre-accident state, it follows, and I find, that her evidence about how her post-accident state differed from her condition before the accident is unreliable. I found that Mr. McCreight was also a poor historian. Drs. le Noble, Shuckett, and Kettner did not have a full and accurate picture of Ms. McCreight's state before the accident. Thus, the weight to be given to their opinions is affected to the extent their opinions are based upon their knowledge of Ms. McCreight's state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find that the motor vehicle accident resulted in an exacerbation of Ms. McCreight's right shoulder pain. I find that the accident is no longer a factor in relation to these complaints and that Ms. McCreight has returned to her pre-accident state is relative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that Ms. McCreight suffered a moderate whiplash injury to her cervical spine in the accident. The cervical injury was associated with headaches. However, I find that the motor vehicle accident as a causal force in relation to these complaints is now spent and that Ms. McCreight has returned to her pre-accident state in relation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find that Ms. McCreight suffered a blunt chest and abdominal wall compression injury from the seatbelt and from left hip pain, which was also likely related to seatbelt compression. These injuries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addition, I find that Ms. McCreight suffered a deep muscular bruise to the right posterolateral buttock, lateral hip abductors and flexor musculature. This was the most serious injury. It has not resolved and continues to result in flare ups of pain beyond those experienced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Finally, Ms. McCreight suffered an episode of recurrence of post-traumatic stress disorder and an exacerbation of depression. The effects of the motor vehicle accident upon these conditions had resolved by January 2005 following therapy with Mr. Horvath. I find that the motor vehicle accident is no longer a factor in relation to Ms. McCreight's mental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now two and a half years since the accident. I have found that the effects of the motor vehicle accident on Ms. McCreight's shoulder, neck and back are now resolved in that Ms. McCreight has returned to her pre-accident state in relation to these complaints. Ms. McCreight has continued to experience problems in the area of her right hip associated with the motor vehicle accident. She has experienced some improvement with the current round of physiotherapy. There is a reasonable prospect for continued improvement. However, the prognosis for complete recovery is guarded. She will likely continue to experience pain. Ms. McCreight is well motivated and has been compliant with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Since the accident, Ms. McCreight has found work that she loves and at which she excels. However, she experiences flare ups of pain on exertion. She has, to this point at least, given up on baseball, the activity that was her passion. She not been able to participate to the same degree in the other outdoor activities that she enjoyed with her family. Her intimate relations with her husband have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McCreight suffered from a recurrence of post-traumatic stress disorder and an exacerbation of depression after the accident. Her symptoms resolved after a course of treatments with Mr. Horvath. The effects of the accident on her mental health are now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Plaintiff's counsel submitted that the appropriate range of damages for non-pecuniary loss is between $50,000 and $90,000 and seeks an award of $75,000 under this head. Counsel relied upon the following cases as setting the range: </w:t>
      </w:r>
      <w:r>
        <w:rPr>
          <w:rFonts w:ascii="arial" w:eastAsia="arial" w:hAnsi="arial" w:cs="arial"/>
          <w:b/>
          <w:i/>
          <w:color w:val="000000"/>
          <w:sz w:val="20"/>
          <w:lang w:val="en-US" w:eastAsia="en-US" w:bidi="ar-SA"/>
        </w:rPr>
        <w:t>Anderson v. Merritt</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[2006] B.C.J. No. 1351</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2006 BCSC 901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MacFayden v. Dean</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[2006] B.C.J. No. 1164</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2006 BCSC 779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Foran v. Nuyguen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[2006] B.C.J. No. 921</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Wagner v. Narang</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[2003] B.C.J. No. 2684</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2003 BCSC 1750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Andres v. Leslie</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[2005] B.C.J. No. 1722</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2005 BCSC 1096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Counsel for the defendant submitted that the appropriate range for non-pecuniary loss, having regard to the plaintiff's pre-existing problems is $20,000 to $30,000. Counsel relies upon the following cases </w:t>
      </w:r>
      <w:r>
        <w:rPr>
          <w:rFonts w:ascii="arial" w:eastAsia="arial" w:hAnsi="arial" w:cs="arial"/>
          <w:b/>
          <w:i/>
          <w:color w:val="000000"/>
          <w:sz w:val="20"/>
          <w:lang w:val="en-US" w:eastAsia="en-US" w:bidi="ar-SA"/>
        </w:rPr>
        <w:t>EME v. Watts</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[2004] B.C.J. No. 129</w:t>
        </w:r>
      </w:hyperlink>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2004 BCSC 98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Kee v. McDonough</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2005 NBQB 140</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281 N.B.R. (2d) 134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Keller v. Cole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[2000] B.C.J. No. 1359</w:t>
        </w:r>
      </w:hyperlink>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2000 BCSC 993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Prystupa v. Hesketh</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[1993] B.C.J. No. 2082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Schweighardt v. Palamara</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[2003] B.C.J. No. 1761</w:t>
        </w:r>
      </w:hyperlink>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2003 BCSC 1149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my view, the range suggested by plaintiff's counsel does not take sufficient cognisance of Ms. McCreight pre-accident condition. However, Ms. McCreight's injuries and their impact on her life suggest an appropriate range beyond that suggested by counsel for the defendant. I assess Ms. McCreight's non-pecuniary damages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McCreight's counsel submits that Ms. McCreight is and will continue to be partially disabled in relation to her earning capacity as a result of the accident. Counsel seeks an award in the range of $100,000 to $130,000 for the loss to her capacity to earn. This amount is based upon the evidence of Jutta Heinrichs, an economist. Counsel submits that the loss should be based upon the premise that Ms. McCreight would, but for the accident, have earned more then the average woman with her experience and education because of a higher attachment to the work force. Counsel submits that a deduction should then be made based upon the figures Ms. Heinrichs has provided for the impact of disability on earnings. Counsel proposes that the figures for moderate disability provided by Ms. Heinrichs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Counsel for the defendant submits that Ms. McCreight is not disabled, and has not established any prospect of a loss of earning. Accordingly, counsel submits there should be no award made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factors to be considered in relation to this head are those identified by Finch J., as he then was,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356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this case, there has been no functional assessment performed. There is no medical evidence supporting a finding that Ms. McCreight is disabled from performing her present work. Ms. McCreight is clearly capable of excellent performance in her present work, which is the work that she loves and has chosen for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McCreight suffered from chronic musculoskeletal problems prior to the accident. Because she was out of the workforce during much of the period after those problems emerged before the accident, and working only limited hours when she was employed, it is not possible to say to what extent those pre-existing problems would have interfered with her future performance at work. They did not appear to interfere with her homemaking duties or her leisure pursuits. The one possible exception to this is that shortly before the accident, Dr. Knox applied for child care for Ms. McCreight on the basis that her medical condition, which at the time included both emotional difficulties and musculoskeletal complaints, interfered with her ability to care for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McCreight suffered from depression and post-traumtic stress disorder prior to the accident. These conditions had in the past interfered with her ability to work. In my view, quite apart from the effects of the motor vehicle accident, she remained vulnerable to recurrences that could interfere with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Turning to counsel's assumptions, given Ms. McCreight's work and medical history, I do not think that but for the accident, Ms. McCreight was more attached to the workforce in the sense that she was more likely then the average woman to be and to remain employed. On the contrary, I find that because of her mental and physical conditions, she was less likely than average to remain employed consistently. Thus, plaintiff counsel's first premise is not well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find that while Ms. McCreight is not disabled from pursuing her current occupation, her capacity to earn is impaired because of mental and physical conditions. She is likely less able to perform at work requiring strength and repetitive motion. Ms. McCreight has a history of depression. Mr. Trainer, in the vocational assessment, noted that while most depressed persons are able to work, it is associated with a variety of difficulties associated with job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However, while I have concluded that Ms. McCreight's capacity to earn income is impaired, I find that the motor vehicle accident made only a relatively small contribution to any ongoing impairment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While Ms. McCreight is doing an excellent job and is clearly highly regarded by her superiors and colleagues at work, her employment is subject to insecurities related to the availability of funding. Therefore, it is likely that Ms. McCreight could be in a situation in the future in which she needed to find other employment on at least a temporary basis. In such a situation, she would find herself to be at a competitive disadvantage in the workplace. The motor vehicle accident did contribute, in part, to that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that Ms. McCreight is entitled to an award under this head. However, the award proposed by her counsel is not justified. I have concluded that counsel's proposal over-emphasized the effect of the accident. It was also based upon premises with respect to Ms. McCreight's anticipated earnings in the absence of the accident that I have concluded are not well founded. I have concluded that an award of $20,000 is appropriate to reflect the impairment to her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seeks an award of $30,000 for loss of homemaking capacity. This amount was based upon a loss of three hours a week at the rate charged by Ms. McCreight's helper, Ms. Underwood, of $18 per hour, including the past 14 months and going forward 10 years into the future. Ms. Underwood was hired through counsel to do housework for Ms. McCreight in 2004. Ms. Underwood is related to a member of plaintiff counsel's firm. There was no evidence of a search for, or of the going rates for, housekeeping services in Castelgar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It is well settled that in appropriate circumstances, a claim for loss of homemaking capacity is appropriate. This is so even were the services have been replaced gratuitously by a family member, see </w:t>
      </w:r>
      <w:r>
        <w:rPr>
          <w:rFonts w:ascii="arial" w:eastAsia="arial" w:hAnsi="arial" w:cs="arial"/>
          <w:b/>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74 B.C.L.R. (3d) 281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are, however, a number of problems with the plaintiff's claim for this head. First, I am not satisfied that evidence establishes that the rate charged by Ms. Underwood is a reasonable measure of the replacement cost of the service. Second, the evidence is sketchy with respect to the homemaking that Brian McCreight has taken up as a result of the accident. He testified that he didn't do much housework before the accident and now does shopping, errands, laundry, chopping of firewood, and some of the cooking. There was no evidence with respect to when and for how long he performs such services. The question of Mr. McCreight's involvement in household tasks is to my mind complicated by the fact that after the accident Ms. McCreight substantially increased her hours of work. It is reasonable to assume that quite apart from the accident, Mr. McCreight would have provided more assistance around the home as Ms. McCreight s participation in the workforce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McCreight testified that she can't do the floors or chopping the wood and has some difficulty with other tasks. Her work takes her longer to complete. She feels that her home is not kept up to the same degree that it was before the accident. She has not been able to keep up with the gardening.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medical evidence does not support a conclusion, in my view, that Ms. McCreight is unable to perform any tasks in her home, but does support a conclusion that she experiences greater difficulty and pain with some tasks and that she now takes longer to do household tasks. It is my view that the level of award proposed by plaintiff's counsel is not justified in these circumstances, but that some compensation to reflect the loss of homemaking capacity is appropriate. I award $8,000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McCreight submitted a claim for housekeeping services performed by Ms. Underwood from September 2004 to August 2005 in the amount of $5,453. Ms. Underwood testified that she attended at the McCreight residence for three hour sessions and performed all the cleaning, tidying and laundry that could be accomplished during that time. She was clearly doing work that Ms. McCreight could do, as well as work that Ms. McCreight testified that she could do only with difficulty or not at all. Ms. Underwood carried on until she moved out of the jurisdiction. Her services were then not replaced. Her services are thus not related either through their timing or through the nature of the services, to Ms. McCreight's needs following the accident. Moreover, Ms. McCreight had started at Mark's Work Warehouse in December 2004, doing work that involved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Included in the invoices are charges for travel, rental of a vacuum, and cleaning supplies. In my view, none of these are recoverable. There was no evidence that it was necessary to hire someone who lived in another community to do this work. The McCreights owned their own vacuum and cleaning supplies so the charges for rental of Ms. Underwood's vacuum and for cleaning supplies are also not in my view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these circumstances, I allow the claims for Ms. Underwood's services for the hourly charge, excluding travel, vacuum rental, and cleaning supplies, from September 9, 2004, to December 27, 2004. There were 28 visits in this period therefore the total allowed is $504. From January 2005 to August 2005 inclusive, I allow charges based upon one hour of services per week to a total of $630 for 35 weeks. In total I allow $1,134 for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Special damages are also claimed for Ms. Makortoff, massage therapy, in the amount of $946; Mr. Horvath, counselling, in the amount of $1,170; Kootenay Family Place, $164; and Shelley Gammer, child minding, $630; Ms. Malloff massage therapy, $66; Evergreen Sports Z &amp; Physical Therapy, physiotherapy, $100; Kokanee Physiotherapy Clinic, $370; Diane Lee &amp; Associates, SI belt, $45. These amounts, totalling $3,491, are allowed as claimed, those being reasonable charges for medication, counselling, massage therapy, physiotherapy, the SI belt and child care during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Thus, a total of $4,625 is awarded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Counsel seeks an award of $35,000 under this head made up of an allowance of $20,000 for the costs of attending a pain clinic, future sessions of massage therapy and physiotherapy in the amount of $12,000, and $3,000 for the cost of medications. Ms. McCreight did not suggest in her testimony that she had an interest in attending a pain clinic. There is no such facility in Castelgar so she would have to leave the district to attend. Given her family responsibilities and her commitment to her work, I think that it is not likely that Ms. McCreight would choose to do so. In those circumstances, I decline to make an award for the costs of attending a pain clinic. On the other hand, the current sessions of physiotherapy are not concluded and are resulting in improvement. It is appropriate to provide for the conclusion of the current sessions, and it seems appropriate as well to include an allowance for sessions in the future in the event of flare up. By contrast however, Ms. McCreight's physicians are not recommending further sessions of massage therapy. I conclude that an award for future sessions for massage therapy is not appropriate as its role in Ms. McCreight's recovery appears to be spent. Ms. McCreight continues to require medication. An allowance for her future medication needs is appropriate. The physicians are, however, recommending Ms. McCreight continue to be active, perhaps through supervised gym visits. An allowance for gym membership would be appropriate. I award $15,000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Total damages of $87,625 are awarded under the following heads: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 $40,000,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 $20,000,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homemaking capacity - $8,000,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$4,625,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 -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3"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McQuillan v. Vancouver (City), [2008] B.C.J. No. 761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K.M. Gill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1-5 and 12,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30,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S050656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761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536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166 A.C.W.S. (3d) 773</w:t>
      </w:r>
    </w:p>
    <w:p>
      <w:pPr>
        <w:spacing w:before="120" w:line="260" w:lineRule="atLeast"/>
        <w:rPr>
          <w:lang w:val="en-US" w:eastAsia="en-US" w:bidi="ar-SA"/>
        </w:rPr>
      </w:pPr>
      <w:r>
        <w:rPr>
          <w:rFonts w:ascii="arial" w:eastAsia="arial" w:hAnsi="arial" w:cs="arial"/>
          <w:color w:val="000000"/>
          <w:sz w:val="20"/>
          <w:lang w:val="en-US" w:eastAsia="en-US" w:bidi="ar-SA"/>
        </w:rPr>
        <w:t>Between Mark McQuillan, Plaintiff, and Constable Ray L. Wong and the City of Vancouver,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4"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6" w:name="Keywords_16"/>
      <w:bookmarkEnd w:id="106"/>
      <w:r>
        <w:rPr>
          <w:rFonts w:ascii="arial" w:eastAsia="arial" w:hAnsi="arial" w:cs="arial"/>
          <w:b/>
          <w:color w:val="000000"/>
          <w:sz w:val="20"/>
          <w:lang w:val="en-US" w:eastAsia="en-US" w:bidi="ar-SA"/>
        </w:rPr>
        <w:t xml:space="preserve">Municipal law — Liabilities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Types — Employees — Training - Police — Action for damages for injury resulting from plaintiff being bitten by a police service dog dismissed — Officer's evidence the dog protected his master, after the plaintiff quickly came up behind the officer and was speaking loudly and gesturing with his arms, was preferred — Plaintiff gave evidence at trial, which did not accord with the training of the officer or the dog, inconsistent with his evidence on discovery — Argument police department was strictly liable was rejected — Officer acted reasonably.</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Evidence and proof — Action for damages for injury resulting from plaintiff being bitten by a police service dog dismissed — Officer's evidence the dog protected his master, after the plaintiff quickly came up behind the officer and was speaking loudly and gesturing with his arms, was preferred — Plaintiff gave evidence at trial, which did not accord with the training of the officer or the dog, inconsistent with his evidence on discovery — Argument police department was strictly liable was rejected — Officer acted reasonably.</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Tort law — Strict liability — Action for damages for injury resulting from plaintiff being bitten by a police service dog dismissed — Officer's evidence the dog protected his master, after the plaintiff quickly came up behind the officer and was speaking loudly and gesturing with his arms, was preferred — Plaintiff gave evidence at trial, which did not accord with the training of the officer or the dog, inconsistent with his evidence on discovery — Argument police department was strictly liable was rejected — Officer acted reasonably.</w:t>
      </w:r>
    </w:p>
    <w:p>
      <w:pPr>
        <w:jc w:val="both"/>
        <w:rPr>
          <w:lang w:val="en-US" w:eastAsia="en-US" w:bidi="ar-SA"/>
        </w:rPr>
      </w:pPr>
      <w:bookmarkStart w:id="107" w:name="Legislation Cited_5"/>
      <w:bookmarkEnd w:id="10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05"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Police Act, </w:t>
      </w:r>
      <w:hyperlink r:id="rId325" w:history="1">
        <w:r>
          <w:rPr>
            <w:rFonts w:ascii="arial" w:eastAsia="arial" w:hAnsi="arial" w:cs="arial"/>
            <w:i/>
            <w:color w:val="0077CC"/>
            <w:sz w:val="20"/>
            <w:u w:val="single"/>
            <w:shd w:val="clear" w:color="auto" w:fill="FFFFFF"/>
            <w:lang w:val="en-US" w:eastAsia="en-US" w:bidi="ar-SA"/>
          </w:rPr>
          <w:t>R.S.B.C. 1996, c. 367, s. 21</w:t>
        </w:r>
      </w:hyperlink>
      <w:r>
        <w:rPr>
          <w:rFonts w:ascii="arial" w:eastAsia="arial" w:hAnsi="arial" w:cs="arial"/>
          <w:color w:val="000000"/>
          <w:sz w:val="20"/>
          <w:lang w:val="en-US" w:eastAsia="en-US" w:bidi="ar-SA"/>
        </w:rPr>
        <w:t>(2)</w:t>
      </w:r>
      <w:r>
        <w:rPr>
          <w:lang w:val="en-US" w:eastAsia="en-US" w:bidi="ar-SA"/>
        </w:rPr>
        <w:cr/>
      </w:r>
    </w:p>
    <w:p>
      <w:pPr>
        <w:keepNext/>
        <w:spacing w:before="240" w:line="340" w:lineRule="atLeast"/>
        <w:rPr>
          <w:lang w:val="en-US" w:eastAsia="en-US" w:bidi="ar-SA"/>
        </w:rPr>
      </w:pPr>
      <w:bookmarkStart w:id="108" w:name="Counsel_16"/>
      <w:bookmarkEnd w:id="10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6" style="position:absolute;z-index:2517780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G. Chen and D.M. Mah.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Constable Ray L. Wong and the City of Vancouver: K.F.W. Liang.</w:t>
      </w:r>
      <w:r>
        <w:rPr>
          <w:lang w:val="en-US" w:eastAsia="en-US" w:bidi="ar-SA"/>
        </w:rPr>
        <w:cr/>
      </w:r>
    </w:p>
    <w:p>
      <w:pPr>
        <w:spacing w:after="240"/>
        <w:rPr>
          <w:lang w:val="en-US" w:eastAsia="en-US" w:bidi="ar-SA"/>
        </w:rPr>
      </w:pPr>
      <w:bookmarkStart w:id="109" w:name="Judgment_16"/>
      <w:bookmarkEnd w:id="109"/>
      <w:r>
        <w:pict>
          <v:line id="_x0000_s1107" style="position:absolute;z-index:25182924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0" w:name="K.M. GILL J."/>
            <w:bookmarkEnd w:id="110"/>
            <w:r>
              <w:rPr>
                <w:rFonts w:ascii="arial" w:eastAsia="arial" w:hAnsi="arial" w:cs="arial"/>
                <w:b/>
                <w:color w:val="000000"/>
                <w:sz w:val="30"/>
                <w:lang w:val="en-US" w:eastAsia="en-US" w:bidi="ar-SA"/>
              </w:rPr>
              <w:t>K.M. GILL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McQuillan was bitten by a police service dog on July 25, 2004. He seeks damages for the resulting injury to his left knee.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incident occurred as Constable Wong and his dog, Bear, were tracking suspects who fled from a stolen vehicle. The plaintiff had seen the suspects run through the yard of the house in which he resided. He was bitten when he was attempting to assist Constable Wong by providing information about their direction of travel.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During argument, counsel for the plaintiff conceded that s. 21(2)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precludes a finding that Constable Wong is personally liable and that the action against him should be dismissed. On behalf of the City, it is agreed that Constable Wong was acting in the course of his duties and that if he was negligent, the City of Vancouver is liable by reason of provisions of the statute.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argues that the standard of care is set out in </w:t>
      </w:r>
      <w:r>
        <w:rPr>
          <w:rFonts w:ascii="arial" w:eastAsia="arial" w:hAnsi="arial" w:cs="arial"/>
          <w:b/>
          <w:i/>
          <w:color w:val="000000"/>
          <w:sz w:val="20"/>
          <w:lang w:val="en-US" w:eastAsia="en-US" w:bidi="ar-SA"/>
        </w:rPr>
        <w:t>Doern v. Phillips Estate</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(S.C.), aff'd </w:t>
      </w:r>
      <w:hyperlink r:id="rId327"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Fortey (Guardian ad litem of) v. Canada (Attorney General</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1999 BCCA 314</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63 B.C.L.R. (3d) 185</w:t>
        </w:r>
      </w:hyperlink>
      <w:r>
        <w:rPr>
          <w:rFonts w:ascii="arial" w:eastAsia="arial" w:hAnsi="arial" w:cs="arial"/>
          <w:color w:val="000000"/>
          <w:sz w:val="20"/>
          <w:lang w:val="en-US" w:eastAsia="en-US" w:bidi="ar-SA"/>
        </w:rPr>
        <w:t>, and the standard to which Constable Wong should be held is that of "a reasonable police officer, acting reasonably and within the statutory powers imposed upon him or her, according to the circumstances of the case" (</w:t>
      </w:r>
      <w:r>
        <w:rPr>
          <w:rFonts w:ascii="arial" w:eastAsia="arial" w:hAnsi="arial" w:cs="arial"/>
          <w:b/>
          <w:i/>
          <w:color w:val="000000"/>
          <w:sz w:val="20"/>
          <w:lang w:val="en-US" w:eastAsia="en-US" w:bidi="ar-SA"/>
        </w:rPr>
        <w:t>Doern</w:t>
      </w:r>
      <w:r>
        <w:rPr>
          <w:rFonts w:ascii="arial" w:eastAsia="arial" w:hAnsi="arial" w:cs="arial"/>
          <w:color w:val="000000"/>
          <w:sz w:val="20"/>
          <w:lang w:val="en-US" w:eastAsia="en-US" w:bidi="ar-SA"/>
        </w:rPr>
        <w:t xml:space="preserve"> (S.C.) at para. 68). It is argued that because of the way the plaintiff approached Constable Wong from behind, combined with his arm movements and his loud voice, Bear reacted without command to protect his master as he is trained to do and Constable Wong did not act negligently.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It is argued on behalf of Mr. McQuillan that by using an animal that can attack without command, an abnormal risk was created and the defendant should be strictly liable. Reliance is also placed on the doctrine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It is further argued that Constable Wong owed a duty to citizens to take reasonable care in controlling and handling his dog and he failed to do so. It is also alleged that he ought to have warned the plaintiff to stay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Before turning to the evidence I will deal with issues raised as to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submits that strict liability should be imposed in respect of abnormally dangerous activities, arguing that most citizens would not expect that a police dog would attack without command in the presence of his handler and while on leash. Although counsel for the plaintiff could not point to any authority supporting the imposition of strict liability, it is suggested that this was "alluded to" by Neilson J. in </w:t>
      </w:r>
      <w:r>
        <w:rPr>
          <w:rFonts w:ascii="arial" w:eastAsia="arial" w:hAnsi="arial" w:cs="arial"/>
          <w:b/>
          <w:i/>
          <w:color w:val="000000"/>
          <w:sz w:val="20"/>
          <w:lang w:val="en-US" w:eastAsia="en-US" w:bidi="ar-SA"/>
        </w:rPr>
        <w:t>Rosario v. Gladney et al</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2000 BCSC 214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do not agree with the plaintiff's interpretation of </w:t>
      </w:r>
      <w:r>
        <w:rPr>
          <w:rFonts w:ascii="arial" w:eastAsia="arial" w:hAnsi="arial" w:cs="arial"/>
          <w:b/>
          <w:i/>
          <w:color w:val="000000"/>
          <w:sz w:val="20"/>
          <w:lang w:val="en-US" w:eastAsia="en-US" w:bidi="ar-SA"/>
        </w:rPr>
        <w:t>Rosario</w:t>
      </w:r>
      <w:r>
        <w:rPr>
          <w:rFonts w:ascii="arial" w:eastAsia="arial" w:hAnsi="arial" w:cs="arial"/>
          <w:color w:val="000000"/>
          <w:sz w:val="20"/>
          <w:lang w:val="en-US" w:eastAsia="en-US" w:bidi="ar-SA"/>
        </w:rPr>
        <w:t>. In that case, Neilson J. described the duty of care of RCMP dog handlers as being to take reasonable care in the controlling and handling of their dogs. The maintenance of control over the dog by the handler was described as central to the training of police dogs and sufficient to establish the standard of care. Neilson J. concluded that the police officer had breached the expected standard of care because the dog had lunged at the plaintiff without command and on its own volition, which was contrary to the dog's training, and the police officer did not pursue options which would have had the effect of bringing the dog under control.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argument made on behalf of Mr. McQuillan is similar to what was argued by the plaintiff in </w:t>
      </w:r>
      <w:r>
        <w:rPr>
          <w:rFonts w:ascii="arial" w:eastAsia="arial" w:hAnsi="arial" w:cs="arial"/>
          <w:b/>
          <w:i/>
          <w:color w:val="000000"/>
          <w:sz w:val="20"/>
          <w:lang w:val="en-US" w:eastAsia="en-US" w:bidi="ar-SA"/>
        </w:rPr>
        <w:t>Sam v. British Columbia (Ministry of Public Safety and Solicitor General)</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2005 BCSC 331</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35 C.C.L.T. (3d) 124</w:t>
        </w:r>
      </w:hyperlink>
      <w:r>
        <w:rPr>
          <w:rFonts w:ascii="arial" w:eastAsia="arial" w:hAnsi="arial" w:cs="arial"/>
          <w:color w:val="000000"/>
          <w:sz w:val="20"/>
          <w:lang w:val="en-US" w:eastAsia="en-US" w:bidi="ar-SA"/>
        </w:rPr>
        <w:t xml:space="preserve">. In that case, it was submitted that the standard of care approached strict liability and </w:t>
      </w:r>
      <w:r>
        <w:rPr>
          <w:rFonts w:ascii="arial" w:eastAsia="arial" w:hAnsi="arial" w:cs="arial"/>
          <w:b/>
          <w:i/>
          <w:color w:val="000000"/>
          <w:sz w:val="20"/>
          <w:lang w:val="en-US" w:eastAsia="en-US" w:bidi="ar-SA"/>
        </w:rPr>
        <w:t>Rosario</w:t>
      </w:r>
      <w:r>
        <w:rPr>
          <w:rFonts w:ascii="arial" w:eastAsia="arial" w:hAnsi="arial" w:cs="arial"/>
          <w:color w:val="000000"/>
          <w:sz w:val="20"/>
          <w:lang w:val="en-US" w:eastAsia="en-US" w:bidi="ar-SA"/>
        </w:rPr>
        <w:t xml:space="preserve"> was cited as authority for that proposition. Meiklem J. rejected that argument, stating at para. 31 that there was no basis for imposing a higher standard of care when a police officer's tool is a dog rather than a motor vehicle or firearm.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my view, the argument of the plaintiff that the defendant should be strictly liable is contrary to existing authority.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submits "in the alternative" that "the defendant is strictly liable under the doctrine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I question how this can be an alternative argument, but in any event,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was briefly considered in </w:t>
      </w:r>
      <w:r>
        <w:rPr>
          <w:rFonts w:ascii="arial" w:eastAsia="arial" w:hAnsi="arial" w:cs="arial"/>
          <w:b/>
          <w:i/>
          <w:color w:val="000000"/>
          <w:sz w:val="20"/>
          <w:lang w:val="en-US" w:eastAsia="en-US" w:bidi="ar-SA"/>
        </w:rPr>
        <w:t>Myers v. Graham et al.</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2005 BCSC 5</w:t>
        </w:r>
      </w:hyperlink>
      <w:r>
        <w:rPr>
          <w:rFonts w:ascii="arial" w:eastAsia="arial" w:hAnsi="arial" w:cs="arial"/>
          <w:color w:val="000000"/>
          <w:sz w:val="20"/>
          <w:lang w:val="en-US" w:eastAsia="en-US" w:bidi="ar-SA"/>
        </w:rPr>
        <w:t>, and Truscott J. concluded that the doctrine did not apply.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summary, I do not agree that the defendant is strictly liable for what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turn next to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McQuillan described what occurred as follows. On Sunday, July 25, 2004, he had planned to go bike riding. At the time, he resided in a basement suite at 456 West 23rd Avenue, Vancouver. The entrance to his suite was at the back of the home and after he showered, he stepped outside his suite to cool off. He was wearing only a towel. He saw a man and woman run through the yard into the alley. He followed to observe them and saw them turn west, or right, then run into the yard of a neighbour to the south, Mr. Negroni. After seeing the individuals run into Mr. Negroni's yard, Mr. McQuillan ran to the front of his residence to find out what was going on. A woman told him that the people had been stealing from a car parked across the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went inside to put on clothing, then went back outside into the yard. He noticed Constable Wong and Bear running through the yard. He estimated that he was standing on the grass approximately eight feet away as they ran by. It was his evidence that Constable Wong said nothing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Constable Wong and Bear went through the back gate into the lane, then veered to the left, or to the east. As Mr. McQuillan knew the suspects had gone to the west, he ran out, called to Constable Wong and pointed to where they had actually gone. He testified that when he did so, he was standing on the property and not in the lane itself. He stopped at that location because he did not want to interfere and common sense told him not to run up to a large dog. At that point Constable Wong was facing to the east.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testified about where he was standing relative to Constable Wong and Bear, referring to photographs which had been taken shortly before trial to illustrate the relative positions. The distance between the plaintiff and Constable Wong was measured at 22 feet. The plaintiff testified that Bear was farther away from him to the east of Constable Wong.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McQuillan testified that when he called out and pointed, Constable Wong turned towards him and asked, "where, over there?". The plaintiff answered, "yes, over here", pointing to Mr. Negroni's yard. Constable Wong then turned and started heading in that direction and the dog "trotted up" to Mr. McQuillan. The plaintiff believed that the dog was just going to sniff him so he stood still and to his surprise, he was bitten just above the left knee. When he was bitten, Constable Wong said "no" on five or six occasions and unsuccessfully tried to remove the dog by pulling on its leash. Constable Wong somehow managed to get the dog off him, but he was then bitten a second time in exactly the same spot. When asked whether he believed Constable Wong had enough time to pull the dog back before it reached him, the plaintiff stated that he had "lots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McQuillan testified that Constable Wong came to visit him at the Vancouver General Hospital on the day of the incident, but the only conversation he remembered was Constable Wong apologizing. He denied that an explanation for why the incident had happened was offered by the defendant and denied telling Constable Wong that he was sorry for running up behind him. Mr. McQuillan does not remember being asked to call Risk Management at City Hall, but agreed that this could have happened as he did telephone and attend at City Hall.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also remembered a later visit by Sergeant McGuinness, but again, could only recall that an apology was offered. He denied saying that he had run up behind Constable Wong, stating that it did not happen that way. He described the visit as so brief that he wondered why Sergeant McGuinness even came 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Negroni lived in a home which was to the south and slightly to the west of the plaintiff's residence. He testified that he was standing by his carport when he saw a police officer and a dog walking towards him. His neighbour, Mr. McQuillan, was standing near the lane smoking a cigarette. He did not hear the plaintiff say anything, nor did he see him wave his arms or run towards the police officer. Mr. Negroni testified that the dog attacked his neighbour immediately. Constable Wong tried to remove the dog by pulling on its leash but it was impossible to remove it. The dog had a hold of the plaintiff for at least two minutes. When asked by plaintiff's counsel whether he felt that Constable Wong could have stopped the dog, he said no, it simply happened too fast.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of Constable Wong was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Constable Wong testified that he went to the area of the plaintiff's residence to track suspects who, only moments before, had been seen running from a stolen vehicle which had been involved in a police chase. Bear was introduced to the human scent within the vehicle and the track took them to 456 West 23rd Avenue. Bear tracked along the west side of the home, then into the backyard. It was at that point that Constable Wong saw Mr. McQuillan on the porch. He asked whether the plaintiff had seen two people run through the area. The plaintiff, who was pointing in a southerly direction, said yes, that they had gone in the direction that he was pointing. Constable Wong described the plaintiff's demeanour as excited. What he was told by Mr. McQuillan confirmed that the dog was on the right track.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They continued tracking southbound through the rear yard. As they entered the paved lane, Bear began to track in a 45 degree south-easterly direction. Constable Wong testified that when the terrain changes from grass to concrete, it is his practice to let the dog make the first crossing and once he does so, he will "check" the dog. When he did so, Bear's head came off the ground, indicating that the scent was dying. Constable Wong then started going through a process of allowing Bear to relocate the strongest source of the scent. He was suddenly alerted to someone yelling behind him on his right side. He turned his head and saw Mr. McQuillan, who was only a few feet away. When he looked back at Bear, he immediately realized that the dog had entered the master protection profile and was running towards the plaintiff. He yelled the command "no" but it was too late as the distance was too short. Bear bit Mr. McQuillan on his left thigh just above the knee cap. Constable Wong immediately went to the plaintiff, grabbed Bear by the collar, put his other hand under the dog's inner right thigh and commanded him to "oust". Bear immediately released his grip and at the same time, the dog was physically removed. He estimated that Bear's jaws were on Mr. McQuillan's leg for approximately two seconds. He said that Bear has never failed to release when commanded to do so, the command being "oust", and that the plaintiff was not bitten twice.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Constable Wong not only disagreed with portions of Mr. McQuillan's testimony, but also stated that the plaintiff's description was not in accord with how he and the dog are trained. To remove the dog, he would not have attempted to pull on the long line and had he done so, the dog would have held on, rather than released. As to the plaintiff's description that Bear "trotted" towards him, Constable Wong stated that Bear can and did cover the distance in seconds. He would never permit the dog to trot up to anybody, nor would a police dog trot around looking at people. When they are working, they are in a tracking profile and all other persons are ignored. As to Mr. McQuillan's evidence that when he pointed them in the right direction, they started heading west, again, Constable Wong said that would not have happened as he would not pull his dog off his track. He explained that his function is not only to apprehend suspects but also to give evidence in criminal trials. He must be able to testify that his dog had one continuous track from the crime scene to the location where suspects were apprehended.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Photographs showing where Constable Wong believes he and the plaintiff were standing were also placed into evidence. It was Constable Wong's evidence that the distance between them was approximately four feet. He also testified that Mr. McQuillan's evidence on this issue is inconsistent with their training. Once a track is lost, the dog is always circled in a clockwise direction and the location described by plaintiff, which was close to a large garage to the south, would not have given the dog sufficient room to circle to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Constable Wong gave evidence about his visit with the plaintiff in the hospital. He wanted to get a contact number and to look at the injury but also wanted to tell the plaintiff he was sorry this had occurred. He explained to the plaintiff that he was bitten because he came running up behind them. Constable Wong described Mr. McQuillan as being very decent and not angry. He even apologized for running up after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Constable Wong gave extensive evidence about how police dogs are trained, the annual validation process and the less formal training that is undertaken each week. Constable Wong and Bear have been part of the Vancouver Police Department Dog Squad since December, 2000, and have never failed to meet any training standards or requirements. Constable Wong also testified that he and his dog regularly attend provincial and national trials. Since 2003, they have been in the top ten overall at the Canadian Police Canine Trials and in the top five in individual events. In 2007, they took first place overall.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stated, Constable Wong described Bear as being in a master protection profile. Sergeant McGuinness expressed the same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Sergeant McGuinness was Constable Wong's superior. He had been a dog handler for eight years and was in charge of training for the Vancouver Police Department Dog Squad from 1997 to 2006. He trained 37 dog teams, including Constable Wong and Bear.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Sergeant McGuinness testified that unless there is information that a suspect is armed, dog handlers usually work alone and their dog acts as a cover officer. Dogs are trained to and expected to quickly engage without command when aggressive moves are made towards their handlers, but will only react without command in defence of their master or themselves. All police service dogs in Canada are trained in master protection. Both Constable Wong and Sergeant McGuinness testified that what generated the dog's reaction to the plaintiff was that Mr. McQuillan ran up from behind, was close to Constable Wong and was yelling and waving his arms. Both said that Bear acted as he was trained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Sergeant McGuinness reviewed the report prepared by Constable Wong and spoke to him. He also spoke briefly with Mr. McQuillan. Although his main purpose in visiting the plaintiff in hospital was to apologize, he wanted to ask what had brought him in proximity to the dog and to see the wound. He testified that Mr. McQuillan said that he ran to the lane to redirect Constable Wong as he was going in the wrong direction. Based on his observation of the wound, it was clear to him that the dog had been ousted quickly. Sergeant McGuinness said that he briefly explained to the plaintiff why the dog reacted as it did. He estimated that the hospital visit lasted ten minutes. After reviewing the matter, he was satisfied that no remedial action was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Both Constable Wong and Sergeant McGuinness were asked about whether warnings were ever given to the public and if so, in what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Sergeant McGuinness testified that tracking is the most predominant training profile and dogs perform three to four tracks per week. For the Vancouver Police Department, tracking is almost always in an urban area and as such, there are commonly many pedestrians. For a number of reasons, warnings are not given. A dog tracks one specific scent and will ignore all others. Thus, there is no need to give warnings. Constable Wong testified that to do so would distract the animal to the point of making the exercise futile. Pedestrians may be asked to stop while a dog continues tracking.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Sergeant McGuinness gave evidence that dog handlers are alone approximately 90 percent of the time and to ensure officer safety, a suspect should not be made aware of a handler's presence. If a building is to be searched by a dog, warnings are given and individuals are asked to announce their presence as the dog is not tracking a scent but is looking for anyone who may be in the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During his cross-examination, Constable Wong was asked whether he had the opportunity to warn Mr. McQuillan to stay back. While he agreed that he could have done so, he stated that he did not even think about it as it did not occur to him that the plaintiff would follow and act as he did. Sergeant McGuinness was asked whether a citizen should be warned to stay back if the handler was aware that a master protection response could be provoked. He said yes, but emphasized the need for an officer to actually be aware of that potential.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Turning to the arguments, there is disagreement as to what occurred and thus, disagreement about whether Bear acted to protect his master. The plaintiff says that Constable Wong simply failed to properly control the dog. It is agreed that the resolution of this issue depends, in large part, on whose evidence is accepted.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are a number of conflicts between the evidence of Mr. McQuillan and Constable Wong. Mr. Negroni was an independent witness and it is argued on behalf of Mr. McQuillan that his evidence is supported by the testimony of Mr. Negroni. However, Mr. Negroni clearly did not have a good recollection of events and while he was undoubtedly well intentioned, the only thing one can take from his evidence is that events happened very quickly.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One of the areas of disagreement relates to the distance between Mr. McQuillan and Constable Wong and Mr. McQuillan and Bear. The distance is significant because Constable Wong says that one of the things that caused Bear to act was the plaintiff's proximity. As an initial comment, it is difficult to accept that either party could now state with precision exactly where they were standing at the moment in question. However, for several reasons, it is my view that the evidence of Constable Wong is generally to be preferred.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 number of respects, the evidence of the plaintiff does not accord with the training of the Vancouver Police Department. I have already referred to Constable Wong's evidence on matters of particular significance. He not only testified that he was not standing in the location described by the plaintiff but also said he would not have been in that location as that would be inconsistent with the manner in which he tracks with Bear.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Another significant discrepancy between the evidence of Mr. McQuillan and Constable Wong relates to how Bear approached the plaintiff. The plaintiff says that Bear trotted towards him, drawing a distinction between trotting and running or bolting. When asked what Constable Wong was doing as the dog approached, he said that he was "just standing there" and Mr. McQuillan thought that Constable Wong was "just letting him sniff me". Again, Constable Wong said that things could not have happened this way and he would not have let the dog do what the plaintiff described.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plaintiff submits that Constable Wong's training and thus his testimony that he would not have done certain things is of little relevance to what he actually did on the day in question. But Constable Wong and Bear were not out for a walk; they were working and their training determines how their work is done. In my view, Constable Wong's evidence that he would not have done certain things is reason to question the accuracy of the plaintiff's description.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agree with the submission of defence counsel that it is helpful to keep in mind the oft cited decision of </w:t>
      </w:r>
      <w:r>
        <w:rPr>
          <w:rFonts w:ascii="arial" w:eastAsia="arial" w:hAnsi="arial" w:cs="arial"/>
          <w:b/>
          <w:i/>
          <w:color w:val="000000"/>
          <w:sz w:val="20"/>
          <w:lang w:val="en-US" w:eastAsia="en-US" w:bidi="ar-SA"/>
        </w:rPr>
        <w:t>Faryna v. Chorney</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and the statement of O'Halloran J.A. at 357 that the "real test of the truth of the story of a witness ... must be its harmony with the preponderance of the probabilities which a practical and informed person would readily recognize as reasonable". It is more consistent with the preponderance of probabilities that Constable Wong would not, for example, have attempted to remove Bear from Mr. McQuillan by pulling on the tracking line which is not what he is trained to do and which would have caused Bear to bite down harder. It is more consistent with the preponderance of probabilities that he would not have permitted Bear to trot up to the plaintiff and sniff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Additionally, the plaintiff's evidence on material matters has not been consistent. At trial, Mr. McQuillan was adamant that Bear trotted towards him and that Constable Wong had lots of time to pull the dog back before it reached him, yet at his examination for discovery stated that "the dog bolted towards me" and that he had not had time to move because things happened so quickly. The plaintiff was also adamant that Constable Wong and Bear were not in the middle of the lane, but at his examination for discovery described them as probably in the middle of the alley at the moment the dog bolted towards him. Mr. McQuillan denied that he yelled to Constable Wong or that he was waving his arms, yet seemingly acknowledged calling out loudly and pointing.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McQuillan denied that he had discussions with the police officers while in the hospital about what had occurred. I accept the evidence of Sergeant McGuinness that he spoke briefly to the plaintiff about what had occurred and was told that he ran to the lane to redirect Constable Wong. I would note that although the plaintiff denied this conversation, when asked during his direct examination to describe what he did, he said he "ran out and I pointed out which way for them to go". I also accept the evidence of Constable Wong regarding his discussion with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summary, I accept that the plaintiff quickly came up behind and in close proximity to Constable Wong and that he was speaking loudly and gesturing with his arms. I accept that Bear acted to protect his master as he was trained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also argued on behalf of the plaintiff that Constable Wong's conduct fell below the applicable standard of care in that he failed to warn Mr. McQuillan to stay back or stay away. It is argued that Constable Wong requested the plaintiff's assistance when he asked whether two people had run through the yard, and the plaintiff's attempt to redirect him was a continued response to this request and ought not to have been a surprise, as Constable Wong testified. It is argued that he had the opportunity to provide a warning and doing so would not have negatively affected his pursuit of the suspects.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have some difficulty accepting that Constable Wong's question was a request for assistance. But in any event, as it was the plaintiff's evidence that Constable Wong said nothing when they tracked through the yard, it would be difficult to conclude that Mr. McQuillan was responding to a request for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Both police officers testified that it is not the practice to issue warnings to civilians along the track and gave compelling reasons for why it is not the practice. I accept their evidence and if it is the argument of the plaintiff that warnings ought to be given to all civilians, I cannot agree.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Constable Wong did not fail to act reasonably in the circumstances. He had no time to prevent Bear from contacting the plaintiff. He acted appropriately to remove Bear and did so as quickly as possible. Although the result is unfortunate given that the plaintiff was attempting to assist, the action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may speak to costs should that be necessary.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K.M. GILL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Merritt v. Canada (Attorney General), [2013] B.C.J. No. 385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A.H. 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 and 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S123809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Sherri Merritt, Plaintiff, and Attorney General of Canada, the Minister of Justice of the Province of British Columbia, the City of Coquitlam, Claude Wilcott, Her Majesty the Queen in Right of the Province of British Columbia, Jennifer Hyland,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9"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1" w:name="Keywords_17"/>
      <w:bookmarkEnd w:id="111"/>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Lack of jurisdiction — Application by city and province to dismiss action allowed in part — Plaintiff was city employee who provided clerical services to RCMP — RCMP revoked plaintiff's security clearance and city suspended her for misconduct — Plaintiff and city's workplace dispute governed by collective agreement — Abuse of power and torts allegations did not change essential character and court lacked jurisdiction — Prosecutor had immunity and warning letter to plaintiff not cause of action — However, claim against Crown also related to info/privacy coordinator's letter to RCMP, which opined there was evidence to justify prosecuting plaintiff, giving rise to triable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Crown liability for acts of servants — Act within scope of duties or employment — Statutory duties, immunities and bars to actions — Application by city and province to dismiss action allowed in part — Plaintiff was city employee who provided clerical services to RCMP — RCMP revoked plaintiff's security clearance and city suspended her for misconduct — Plaintiff and city's workplace dispute governed by collective agreement — Abuse of power and torts allegations did not change essential character and court lacked jurisdiction — Prosecutor had immunity and warning letter to plaintiff not cause of action — However, claim against Crown also related to info/privacy coordinator's letter to RCMP, which opined there was evidence to justify prosecuting plaintiff, giving rise to triable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Labour arbitration — Process and procedure — Arbitration — Jurisdiction — Application by city and province to dismiss action allowed in part — Plaintiff was city employee who provided clerical services to RCMP — RCMP revoked plaintiff's security clearance and city suspended her for misconduct — Plaintiff and city's workplace dispute governed by collective agreement — Abuse of power and torts allegations did not change essential character and court lacked jurisdiction — Prosecutor had immunity and warning letter to plaintiff not cause of action — However, claim against Crown also related to info/privacy coordinator's letter to RCMP, which opined there was evidence to justify prosecuting plaintiff, giving rise to triable issue.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2" w:name="Case Summary_15"/>
            <w:bookmarkEnd w:id="1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city and province to have the action against them dismissed. The plaintiff was a city employee who was required to provide clerical services to the RCMP. The city had raised concerns about the plaintiff acting outside of the scope of her employment several times. The plaintiff perceived herself as an authority on police disclosure and began raising concerns with RCMP procedure. The plaintiff claimed no one took her threats seriously and began harassing her. In that context, the plaintiff began engaging in activities she maintained were proper, including deleting files off a shared network. The RCMP revoked the plaintiff's security clearance and commenced a criminal investigation. The city suspended the plaintiff for workplace misconduct. She remained suspended without pay and had grievances pending. The Crown chose not to prosecute the plaintiff, but the prosecutor sent her a warning letter. The RCMP asked for a copy of the letter and the info/privacy coordinator refused the request, but wrote to the RCMP with details and noted there was sufficient evidence to justify the plaintiff's prosecution. The City argued this was a workplace dispute that had to be dealt with in arbitration. The province argued the claim against it did not disclose a cause of action. The plaintiff argued her claim was based on torts and conspiracy committed by all defendants, which the collective agreement had no means of remedying. The plaintiff alleged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privacy and other torts against the province in relation to the actions of the prosecutor and coordinator.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3" w:name="Holdings of Court_11"/>
            <w:bookmarkEnd w:id="11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essential character of the dispute between the plaintiff and the City was a workplace dispute. While the plaintiff also alleged abuse of process and torts, none of these changed the essential character. The dispute had to be governed by the labour relations practice and procedure and the court lacked jurisdiction and could not hear the claim against the city. The plaintiff's argument the arbitrator could not re-appoint her with the RCMP missed the point that she was never employed by the RCMP and was always a city employee. The common employer doctrine was not applicable and the plaintiff could still pursue the RCMP for its alleged wrongs in court. No charges were ever laid against the plaintiff and Crown counsel was immune with respect to its decision to prosecute or not. None of the facts pled supported any finding of wrongdoing by the prosecutor. However, the info/ privacy coordinator was not protected by immunity and made the comment in the letter to the RCMP that there was evidence to justify the plaintiff's prosecution. The prosecutor never said this in her letter to the plaintiff, so this statement raised triable issues as to whether it was untrue, whether it should have been said to the RCMP and whether the letter was intended for distribution to others. The action could continue against the province.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4" w:name="Legislation Cited_6"/>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0"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339" w:history="1">
        <w:r>
          <w:rPr>
            <w:rFonts w:ascii="arial" w:eastAsia="arial" w:hAnsi="arial" w:cs="arial"/>
            <w:i/>
            <w:color w:val="0077CC"/>
            <w:sz w:val="20"/>
            <w:u w:val="single"/>
            <w:shd w:val="clear" w:color="auto" w:fill="FFFFFF"/>
            <w:lang w:val="en-US" w:eastAsia="en-US" w:bidi="ar-SA"/>
          </w:rPr>
          <w:t>R.S.C. 1985, c. C-46, s. 430</w:t>
        </w:r>
      </w:hyperlink>
      <w:r>
        <w:rPr>
          <w:rFonts w:ascii="arial" w:eastAsia="arial" w:hAnsi="arial" w:cs="arial"/>
          <w:color w:val="000000"/>
          <w:sz w:val="20"/>
          <w:lang w:val="en-US" w:eastAsia="en-US" w:bidi="ar-SA"/>
        </w:rPr>
        <w:t>(5)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Freedom of Information and Protection of Privacy Act, R.S.B.C. c.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hyperlink r:id="rId340" w:history="1">
        <w:r>
          <w:rPr>
            <w:rFonts w:ascii="arial" w:eastAsia="arial" w:hAnsi="arial" w:cs="arial"/>
            <w:i/>
            <w:color w:val="0077CC"/>
            <w:sz w:val="20"/>
            <w:u w:val="single"/>
            <w:shd w:val="clear" w:color="auto" w:fill="FFFFFF"/>
            <w:lang w:val="en-US" w:eastAsia="en-US" w:bidi="ar-SA"/>
          </w:rPr>
          <w:t>RSBC 1996, CHAPTER 244, s. 89</w:t>
        </w:r>
      </w:hyperlink>
      <w:r>
        <w:rPr>
          <w:rFonts w:ascii="arial" w:eastAsia="arial" w:hAnsi="arial" w:cs="arial"/>
          <w:color w:val="000000"/>
          <w:sz w:val="20"/>
          <w:lang w:val="en-US" w:eastAsia="en-US" w:bidi="ar-SA"/>
        </w:rPr>
        <w:t>, s. 95, s.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r>
        <w:rPr>
          <w:rFonts w:ascii="arial" w:eastAsia="arial" w:hAnsi="arial" w:cs="arial"/>
          <w:i/>
          <w:color w:val="000000"/>
          <w:sz w:val="20"/>
          <w:lang w:val="en-US" w:eastAsia="en-US" w:bidi="ar-SA"/>
        </w:rPr>
        <w:t>RSBC 1996, CHAPTER 367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Civil Procedure, Rule 9-5, Rule 9-5(1), Rule 9-5(2)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5" w:name="Counsel_17"/>
      <w:bookmarkEnd w:id="1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T.F. Beasley.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Attorney General of Canada, the Minister of Justice of the Province of British Columbia, Claude Wilcott and Jennifer Hyland: J. Mules.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Coquitlam: D.M. MacPhail &amp; J.D. Kondopulos.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T. Callan.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17"/>
      <w:bookmarkEnd w:id="116"/>
      <w:r>
        <w:pict>
          <v:line id="_x0000_s1112"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A.H. SILVERMAN J."/>
            <w:bookmarkEnd w:id="117"/>
            <w:r>
              <w:rPr>
                <w:rFonts w:ascii="arial" w:eastAsia="arial" w:hAnsi="arial" w:cs="arial"/>
                <w:b/>
                <w:color w:val="000000"/>
                <w:sz w:val="30"/>
                <w:lang w:val="en-US" w:eastAsia="en-US" w:bidi="ar-SA"/>
              </w:rPr>
              <w:t>A.H. 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Two defendants make applications which, if successful, will bring to an end the plaintiff's action against them:</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City of Coquitlam ("City") applies to have the action against it dismissed or stayed for jurisdictional reasons.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Her Majesty the Queen in Right of the Province of British Columbia ("Province") applies to have the claim against her struck for failure to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Province is to be distinguished from the defendant, the Minister of Justice of the Province of British Columbia ("Minister"). I am advised that the Minister is represented by counsel for the Attorney General of Canada ("Attorney General") as the result of an agreement with the Province. The Attorney General and the Minister do not make any application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Attorney General and the Minister are defendants because of their relationship to the Royal Canadian Mounted Police ("RCMP"). The Province is a defendant because of the alleged conduct of two employees of the Criminal Justice Branch, specifically: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prosecutor with Crown Counsel ("prosecutor");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Access and Privacy Coordinator/Crown Counsel ("Info/Privacy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is a municipality duly incorporated pursuant to the laws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an employee of the City and has been since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She is a unionized employee. She is a member of the Canadian Union of Public Employees, Local 386 ("Union"), which is the certified bargaining agent for a bargaining unit of employees of the City under the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The Union and the City have entered into a collective agreement concerning that bargaining unit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Since 2005, she has been working as a regular full-time insurance clerk. In that capacity, and as a member of the City's support staff, she was required to provide clerical services to the Coquitlam detachment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Like many other B.C. municipalities, the City is party to a Municipal Police Unit Agreement ("MPUA"), a contract pursuant to which the City has done as it is authorized to do by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and engaged the RCMP to act as its municipal police force and provide municipal police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clerical services that the plaintiff provided to the Coquitlam detachment of the RCMP as an insurance clerk were provided for and on behalf of the City - as part of her duties and responsibilities with the City. She is not, and never has been, employed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Nevertheless, the plaintiff was subject to a degree of control and direction by the RCMP. She was also subject to their administrative policies, procedures and security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MPUA provides that any City "Support Staff" who provide services to the RCMP must meet the job and other related requirements of the RCMP. It also provides that police internal management, including its administration and the determination and application of professional police procedures, "will remain under the control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employment with the City required that she maintain a full security clearance. The security clearance process and status was a condition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the RCMP, and not the City, that has exclusive control over who is granted security clearance and who is denied such clearance.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the City, and not the RCMP, who exercised managerial or supervisory authority over the plaintiff with respect to such matters as salary, workflow, hours of work, performance issues, approval for attendance at courses, and vacation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 direct supervisor was an employee of the City throughout her employment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the City's point of view, the plaintiff's perception of her role and responsibilities as an insurance clerk has been an ongoing source of concern for some time. The issue of her acting outside or beyond the scope of her duties with the City has been raised with her on almost a dozen occasions since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perceived her role and responsibility somewhat differently. She perceived herself as a recognized authority in police disclosure who became concerned with what she perceived to be improper disclosure practices and blatant mistakes in disclosure duties by the RCMP. When she attempted to bring these issues to the attention of the RCMP, she alleges that they perceived her actions as threats to their positions and began a campaign of harassment against her. She believes that neither the City nor the RCMP took seriously her concerns about faulty disclosure practices and the potential for resulting legal implications.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Against that background, on September 19, 2011, the plaintiff engaged in certain activity which she maintains was completely proper. The RCMP disagrees. As a result, it revoked the plaintiff's security clearance and commenced a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the plaintiff was believed by the City to have engaged in workplace misconduct and suspended her from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circumstances which gave rise to that belief by the City were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19, 2011, the plaintiff was told by her doctor to go on medical leave. Before notifying the City she wrote a letter to Superintendent Claude Wilcott ("Supt. Wilcott"), one of the defendants, setting out her continuing concerns about various RCMP practices. She also deleted various files from the shared network drive and put them on to a thumb drive.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was very concerned when they determined what had occurred with respect to the shared network drive and commenced a criminal investigation. The plaintiff's view was that she had done nothing wrong, that the thumb drive had been given to her replacement worker, and that, in any event, she had cleared the activity, prior to her doing it, with a corporal of the RCMP.</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RCMP conducted an investigation which the plaintiff says was woefully inadequate and unfair. The RCMP forwarded a Report to Crown Counsel ("RTCC") recommending a charge of mischief to data contrary to s. 430(5)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RTCC alleged that the plaintiff had deleted an entire working computer network drive of data and that she had done so intentionally. The alleged motive was that she was acting in a vindictive manner because of the RCMP failure to understand her importance in assisting the RCMP to fulfil its disclosure obligations.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prosecutor (at Crown Counsel office) chose to not approve criminal charges against the plaintiff, and instead sent her a caution letter. The plaintiff alleges that the contents of the caution letter were inappropriate. She describes the sending of the letter as an "extra-ordinary step".</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from the prosecutor included, among other things, the following paragraph:</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circumstances, including the minor damage done, and the significant consequences to your employment, I decided not to proceed with criminal charges and prosecution of this matter."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Supt. Wilcott requested from Crown Counsel a copy of the letter outlining the reasons why charges were not approved, pursuant to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R.S.B.C., c. 165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The Info/Privacy Coordinator (at Crown Counsel) declined to provide that copy but then set out in her letter the details of the letter which she had declined to provide. The plaintiff alleges that this activity was improper.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to Supt. Wilcott included the statement that the prosecutor had "concluded that there was evidence to justify a prosecution".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foregoing comment in the letter to Supt. Wilcott did not purport to be a quotation from the letter written by the prosecutor to the plaintiff, nor was it one. The letter from the prosecutor did not expressly indicate that she had "concluded that there was evidence to justify a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alleges that she had done nothing wrong. Nothing was lost by the deletion from her computer. She gave it to her replacement, and her activities were cleared by an RCMP corporal. She did not breach any RCMP or City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result of the foregoing, on or around March 5, 2012, the City suspended the plaintiff from employment pending the conclusion of the City's investigation of her conduct. Her employment has not been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alleges that the RCMP routinely places RCMP members on paid administrative leave or administrative duties when they are under investigation for criminal charges and when they have been charged criminally, until the investigation or charge is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did not agree to place the plaintiff on paid administrative leave. She remains suspended without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Union has filed several grievances on behalf of the plaintiff with respect to facts and matters raised by her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 grievance filed with the City on or around March 20, 2012, the Union alleges that the plaintiff was suspended from employment without just cause and asks that she "be made whole and receive full redress plus applicable damages". The Union has now formally indicated to the City that it wishes to submit the grievance to a labour arbitration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Notice of Civil Claim ("NOCC") was filed on May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 grievance filed with the City on or around June 12, 2012, the Union alleges arbitrary, discriminatory and bad faith conduct on the part of the City and asks that the plaintiff "be made whole and receive full redress".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Another grievance filed with the City on or around June 12, 2012, alleges arbitrary, discriminatory and bad faith conduct on the part of the City and seeks "changes" to certain City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These grievances filed by the Union are working their way through the grievance arbitration process prescribed by the Collective Agreement and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Either party has the ability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to apply to expedite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CITY'S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parties are agreed that this application arises out of a jurisdictional dispute between them: Does the court have jurisdiction to hear this claim or must it be governed by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labour relations practices and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City argues that the plaintiff's claim against it should be dismissed or stayed on the ground that this Court does not have jurisdiction over the City to deal with it or, in the alternative, should decline to exercise jurisdiction over the City with respect to this claim. More specifically, it argues that: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provides for a system of grievance arbitration to secure final and binding resolution of disputes arising out of the interpretation, application, administration and alleged contravention of collective agreements.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creates a specialized mechanism, other than the court process, to resolve workplace disputes.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number of reasons, including speed, efficiency and cost-effectiveness, the Legislature has made a deliberate legislative choice to give arbitration a prominent role in "determining grievances and resolving disputes under the provisions of a collective agreement without resort to stoppages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argues that this Court does have jurisdiction to deal with the matter and should deal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Argument has been framed within the following considerations: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essential character;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exclusive bargaining;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Essential Character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City's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its essential character, this is a workplace dispute. The claim made against the City relates to or arises out of the interpretation, application, administration or alleged breach or violation of provisions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matters raised as well as the relief sought against the City in the proceeding expressly or inferentially fall under, relate to or arise out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entirety of the claim made against the City in this proceeding, including the prayer for relief, is within the exclusive jurisdiction of a labour arbitration board. This is what is contemplated not only by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but also by the Collective Agreement negotiated pursuant to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law regarding jurisdictional disputes of this nature is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and its companion case, </w:t>
      </w:r>
      <w:r>
        <w:rPr>
          <w:rFonts w:ascii="arial" w:eastAsia="arial" w:hAnsi="arial" w:cs="arial"/>
          <w:i/>
          <w:color w:val="000000"/>
          <w:sz w:val="20"/>
          <w:lang w:val="en-US" w:eastAsia="en-US" w:bidi="ar-SA"/>
        </w:rPr>
        <w:t>New Brunswick v. O'Leary</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the Supreme Court of Canada held that where a dispute between an employee and his or her employer arises expressly or inferentially out of a collective agreement, a court lacks the jurisdiction to hear the dispute. Such a dispute falls squarely within the jurisdiction of a grievance arbitrator, arbitration board, or some other relevant labour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Regina Police Assn. Inc. v. Regina (City) Board of Police Commissioners</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2000 SCC 14</w:t>
        </w:r>
      </w:hyperlink>
      <w:r>
        <w:rPr>
          <w:rFonts w:ascii="arial" w:eastAsia="arial" w:hAnsi="arial" w:cs="arial"/>
          <w:color w:val="000000"/>
          <w:sz w:val="20"/>
          <w:lang w:val="en-US" w:eastAsia="en-US" w:bidi="ar-SA"/>
        </w:rPr>
        <w:t xml:space="preserve"> at paras. 25, 29 the Court provided a similar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the nature of the dispute, the goal is to determine its </w:t>
      </w:r>
      <w:r>
        <w:rPr>
          <w:rFonts w:ascii="arial" w:eastAsia="arial" w:hAnsi="arial" w:cs="arial"/>
          <w:b/>
          <w:color w:val="000000"/>
          <w:sz w:val="20"/>
          <w:u w:val="single"/>
          <w:lang w:val="en-US" w:eastAsia="en-US" w:bidi="ar-SA"/>
        </w:rPr>
        <w:t>essential character</w:t>
      </w:r>
      <w:r>
        <w:rPr>
          <w:rFonts w:ascii="arial" w:eastAsia="arial" w:hAnsi="arial" w:cs="arial"/>
          <w:color w:val="000000"/>
          <w:sz w:val="20"/>
          <w:lang w:val="en-US" w:eastAsia="en-US" w:bidi="ar-SA"/>
        </w:rPr>
        <w:t>. This determination must proceed on the basis of the facts surrounding the dispute between the parties, and not on the basis of how the legal issues may be framed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determine the essential character of the dispute, we must examine the factual context in which it arose, not its legal characterization.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a common thread that runs through the entirety of the plaintiff's claim against the City. The matters raised and the relief sought expressly or inferentially fall under, relate to or arise out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tries to frame the dispute as one of abuse of power. Nevertheless, the plaintiff's dispute with the City is the kind of dispute that falls squarely within the jurisdiction of a grievance arbitrator or arbitration board because it falls under the Collective Agreement either expressly or inferentially. Placed in the context of the Collective Agreement, the dispute she has with the City arises out of her workplace, work environment and working conditions and falls within the scope of employer-employee relations and is, therefore, properly addressed and resolved through the grievance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Ferreira v. Richmond (City)</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2007 BCCA 131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Ferreira</w:t>
      </w:r>
      <w:r>
        <w:rPr>
          <w:rFonts w:ascii="arial" w:eastAsia="arial" w:hAnsi="arial" w:cs="arial"/>
          <w:color w:val="000000"/>
          <w:sz w:val="20"/>
          <w:lang w:val="en-US" w:eastAsia="en-US" w:bidi="ar-SA"/>
        </w:rPr>
        <w:t>], the employee alleged that several other employees had harassed him to the point of personal injury and the employer had done nothing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majority of the Court of Appeal held at para. 46 that "the essential character of [the] dispute involve[d] the interpretation, application or administration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Focusing on "the substance of the dispute, rather than its legal characterization", the majority observed that the complaint in </w:t>
      </w:r>
      <w:r>
        <w:rPr>
          <w:rFonts w:ascii="arial" w:eastAsia="arial" w:hAnsi="arial" w:cs="arial"/>
          <w:i/>
          <w:color w:val="000000"/>
          <w:sz w:val="20"/>
          <w:lang w:val="en-US" w:eastAsia="en-US" w:bidi="ar-SA"/>
        </w:rPr>
        <w:t>Ferreira</w:t>
      </w:r>
      <w:r>
        <w:rPr>
          <w:rFonts w:ascii="arial" w:eastAsia="arial" w:hAnsi="arial" w:cs="arial"/>
          <w:color w:val="000000"/>
          <w:sz w:val="20"/>
          <w:lang w:val="en-US" w:eastAsia="en-US" w:bidi="ar-SA"/>
        </w:rPr>
        <w:t xml:space="preserve"> was "not unlike the complaint dealt with by the Supreme Court of Canada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and then went on to state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Accepting Mr. Ferreira's genuine conviction about his mistreatment, I nevertheless cannot escape the conclusion that at a basic level, his dispute is about how he has been treated at work and, in turn, how this treatment has escalated to claims of tortious and perhaps criminal behaviour. In other words, the heart of his complaint is about his employer's failure to prevent or address allegedly shocking working conditions and to provide a safe work environment. All of these allegations are intrinsically linked to the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majority of the Court then went on to address the fact that there was no express provision in the collective agreement regarding complaints like the one in </w:t>
      </w:r>
      <w:r>
        <w:rPr>
          <w:rFonts w:ascii="arial" w:eastAsia="arial" w:hAnsi="arial" w:cs="arial"/>
          <w:i/>
          <w:color w:val="000000"/>
          <w:sz w:val="20"/>
          <w:lang w:val="en-US" w:eastAsia="en-US" w:bidi="ar-SA"/>
        </w:rPr>
        <w:t>Ferreira</w:t>
      </w:r>
      <w:r>
        <w:rPr>
          <w:rFonts w:ascii="arial" w:eastAsia="arial" w:hAnsi="arial" w:cs="arial"/>
          <w:color w:val="000000"/>
          <w:sz w:val="20"/>
          <w:lang w:val="en-US" w:eastAsia="en-US" w:bidi="ar-SA"/>
        </w:rPr>
        <w:t>. The majority stated at paras. 65-67: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are other occasions, such as the case at bar, when the collective agreement is effectively silent with respect to the dispute. But this silence does not put an end to the matter. As emphasized by McLachlin J.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(at paras. 53-54) the scope of a collective agreement cannot be determined by simple reference to categories of disputes found on its face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Indeed, courts in other decisions have acknowledged that a dispute may fall implicitly within the collective agreement and, therefore, the jurisdiction of the arbitrator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an evaluation of the collective agreement demonstrates that this dispute fell inferentially within its ambit.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majority of the Court arrived at the following conclusion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essential character of Mr. Ferreira's complaint, while cast in the language of tort and other related causes of action, must be seen as a workplace grievance that falls impliedly under the terms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City also relies upon a number of other cases to support its argument with respect to essential character, including: </w:t>
      </w:r>
      <w:r>
        <w:rPr>
          <w:rFonts w:ascii="arial" w:eastAsia="arial" w:hAnsi="arial" w:cs="arial"/>
          <w:i/>
          <w:color w:val="000000"/>
          <w:sz w:val="20"/>
          <w:lang w:val="en-US" w:eastAsia="en-US" w:bidi="ar-SA"/>
        </w:rPr>
        <w:t>Hemmings v. University of Saskatchewan</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2002 SKCA 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Forster v. Canadian Airline International Ltd.</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(1993), 109 D.L.R. (4th) 731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Toronto Transit Commission and A.T.U. (Stina) (Re)</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(2004), 132 L.A.C. (4th) 225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Dinunzio v. Hamilton (City)</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2010 ONSC 3631</w:t>
        </w:r>
      </w:hyperlink>
      <w:r>
        <w:rPr>
          <w:rFonts w:ascii="arial" w:eastAsia="arial" w:hAnsi="arial" w:cs="arial"/>
          <w:color w:val="000000"/>
          <w:sz w:val="20"/>
          <w:lang w:val="en-US" w:eastAsia="en-US" w:bidi="ar-SA"/>
        </w:rPr>
        <w:t xml:space="preserve">, aff'd </w:t>
      </w:r>
      <w:hyperlink r:id="rId349" w:history="1">
        <w:r>
          <w:rPr>
            <w:rFonts w:ascii="arial" w:eastAsia="arial" w:hAnsi="arial" w:cs="arial"/>
            <w:i/>
            <w:color w:val="0077CC"/>
            <w:sz w:val="20"/>
            <w:u w:val="single"/>
            <w:shd w:val="clear" w:color="auto" w:fill="FFFFFF"/>
            <w:lang w:val="en-US" w:eastAsia="en-US" w:bidi="ar-SA"/>
          </w:rPr>
          <w:t>2011 ONCA 66</w:t>
        </w:r>
      </w:hyperlink>
      <w:r>
        <w:rPr>
          <w:rFonts w:ascii="arial" w:eastAsia="arial" w:hAnsi="arial" w:cs="arial"/>
          <w:color w:val="000000"/>
          <w:sz w:val="20"/>
          <w:lang w:val="en-US" w:eastAsia="en-US" w:bidi="ar-SA"/>
        </w:rPr>
        <w:t xml:space="preserve">; leave to appeal to SCC refused, </w:t>
      </w:r>
      <w:hyperlink r:id="rId350" w:history="1">
        <w:r>
          <w:rPr>
            <w:rFonts w:ascii="arial" w:eastAsia="arial" w:hAnsi="arial" w:cs="arial"/>
            <w:i/>
            <w:color w:val="0077CC"/>
            <w:sz w:val="20"/>
            <w:u w:val="single"/>
            <w:shd w:val="clear" w:color="auto" w:fill="FFFFFF"/>
            <w:lang w:val="en-US" w:eastAsia="en-US" w:bidi="ar-SA"/>
          </w:rPr>
          <w:t>[2011] S.C.C.A. No. 110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Moznik v. Richmond (City)</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2006 BCSC 1848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Moznik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Haight-Smith v. Neden</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2000 BCSC 1233</w:t>
        </w:r>
      </w:hyperlink>
      <w:r>
        <w:rPr>
          <w:rFonts w:ascii="arial" w:eastAsia="arial" w:hAnsi="arial" w:cs="arial"/>
          <w:color w:val="000000"/>
          <w:sz w:val="20"/>
          <w:lang w:val="en-US" w:eastAsia="en-US" w:bidi="ar-SA"/>
        </w:rPr>
        <w:t xml:space="preserve">, aff'd </w:t>
      </w:r>
      <w:hyperlink r:id="rId353"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primary question before the court is whether the essential character of the dispute falls within the jurisdiction of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essential character of this dispute is not that of a workplace dispute. Rather, its essential character is one of abuse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Justice McLachlin (as she then was) stated this at para. 52: "The fact that the parties are employer and employee may not be determinative", and "not everything that happens on the workplace may arise from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Justice McLachlin recognized at para. 57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might occur that a remedy is required which the arbitrator is not empowered to grant. In such a case, the courts of inherent jurisdiction in each province may take jurisdiction. ... What must be avoided, to use the language of Estey J. in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(at p. 723) is a "real deprivation of ultimate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Here, the arbitration process would deprive the plaintiff of the "ultimate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arbitrator lacks the power to reinstate the plaintiff to her position as the insurance/disclosure clerk or any position with the RCMP - as the RCMP is not a party to the Collective Agreement. Under the City's Collective Agreement with the Union, the plaintiff lacks the essential element of the Collective Agreement bargain - the right to be reinstated to her position in exchange for giving up the right to sue. She cannot be reinstated to the RCMP position, and has lost all rights to any RCMP position. Still, the City argues that she is barred from suing them because the Collective Agreement contains all of her employment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essential character of this dispute does not arise out of the Collective Agreement, since:</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not based on the Collective Agreement;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dispute are not the employer and the employee;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dispute arises out of the RCMP's treatment of the plaintiff by RCMP members and officers in harassing her, terminating her security clearance, investigating her for criminal charges which had no merit, and committing a variety of torts as set out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City employees were active with the RCMP in events leading to the criminal investigation against the plaintiff. The City is therefore inextricably mixed up with the improper conduct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arbitrator under the Collective Agreement has no power to remedy her grievances and to return her to her position with the RCMP, or to sanction the RCMP or Crown for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Police services (City and RCMP) as an employer have used the criminal justice system for improper purposes and in bad faith. The police and Crown Counsel have used the criminal justice system for improper purposes and in bad faith, and the administration of justice requires a court hearing to adjudicate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Even if the claim against the City is characterized as having the essential character of a labour dispute arising out of the Collective Agreement, the granting of the City's application would result in the same matter being adjudicated in two different forums at the same time - the City in arbitration, and the RCMP and Province in court. The combination of two different processes gives rise to the danger of there being an embarrassment of conflicting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 should have regard to the long-standing principle that, where possible, a multiplicity of proceedings should be avoided. Here, offending that principle can be avoided by ensuring that the plaintiff's claim against the City should be heard in court, within the same proceedings as the claim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Exclusive Bargaining Unit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City's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Separate and apart from the issue of "essential character", there is another good reason to strictly apply the exclusive jurisdiction model in the circumstances of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matters which are the subject of the plaintiff's claim against the City in this proceeding fall within the four corners of the Union's exclusive bargaining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Indeed, the plaintiff had already commenced a grievance prior to her commencing this civil suit, and several more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Where there is a certified bargaining agent, employees in the bargaining unit do not retain the right to negotiate or deal separately with their employer regarding terms and conditions of employment: </w:t>
      </w:r>
      <w:r>
        <w:rPr>
          <w:rFonts w:ascii="arial" w:eastAsia="arial" w:hAnsi="arial" w:cs="arial"/>
          <w:i/>
          <w:color w:val="000000"/>
          <w:sz w:val="20"/>
          <w:lang w:val="en-US" w:eastAsia="en-US" w:bidi="ar-SA"/>
        </w:rPr>
        <w:t>Syndicat Catholique des Employés de Magasins de Québec Inc. v. Compagnie Paquet Ltee.</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[1959] S.C.R. 206</w:t>
        </w:r>
      </w:hyperlink>
      <w:r>
        <w:rPr>
          <w:rFonts w:ascii="arial" w:eastAsia="arial" w:hAnsi="arial" w:cs="arial"/>
          <w:color w:val="000000"/>
          <w:sz w:val="20"/>
          <w:lang w:val="en-US" w:eastAsia="en-US" w:bidi="ar-SA"/>
        </w:rPr>
        <w:t xml:space="preserve"> at 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Although she may wish to do so, the plaintiff cannot escape the labour relations reality that the Union is her certified bargaining agent. The law does not permit her to pursue, in her individual capacity, any dispute with her employer arising out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provides grievance arbitrators or arbitration boards with "the authority necessary to provide a final and conclusive settlement of a dispute arising under a collective agreement": s. 89. This includes the power to:</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and accept evidence;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compel the attendance of witnesses;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remedies including the power to award compensatory damages to remedy monetary loss or provide relief with respect to a wide range of tortious, unlawful or injurious conduct, to award aggravated and punitive damages, and also non-monetary remedies;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and enforce human rights;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decide issues relating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clearly states that the decision of an arbitration board is binding on the parties who must comply in all respects with the decision: s.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decision or award of a labour arbitration board is protected by strong privative language which states that: "the decision or award ... is final and conclusive":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also mandates that where there is a failure or neglect to comply with the decision, it may be filed with the court and is then deemed to be an order of the court and enforceable as such: s.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All of the grievances that the plaintiff complains of in her civil suit against the City must be, and can be, adequately addressed through the foregoing procedures.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For the torts to be properly in front of a labour relations board, they must in their essential character arise out of the collective agreement. However, the mere existence of a collective agreement does not necessarily lead to the conclusion that the essential character of the dispute arises out of the collective agreement. In </w:t>
      </w:r>
      <w:r>
        <w:rPr>
          <w:rFonts w:ascii="arial" w:eastAsia="arial" w:hAnsi="arial" w:cs="arial"/>
          <w:i/>
          <w:color w:val="000000"/>
          <w:sz w:val="20"/>
          <w:lang w:val="en-US" w:eastAsia="en-US" w:bidi="ar-SA"/>
        </w:rPr>
        <w:t>Pleau v. Canada (Attorney General)</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1999 NSCA 159</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Pleau</w:t>
      </w:r>
      <w:r>
        <w:rPr>
          <w:rFonts w:ascii="arial" w:eastAsia="arial" w:hAnsi="arial" w:cs="arial"/>
          <w:color w:val="000000"/>
          <w:sz w:val="20"/>
          <w:lang w:val="en-US" w:eastAsia="en-US" w:bidi="ar-SA"/>
        </w:rPr>
        <w:t xml:space="preserve">], the Nova Scotia Court of Appeal noted that there were three inter-related considerations in applying the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principles. The first consideration relates to the process for resolution of disputes. The second concerns the sorts of disputes falling within that process. With respect to the third consideration the court said the following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consideration relates to the practical question of whether the process favoured by the parties and the legislature provides effective redress for the alleged breach of duty. Generally, if there is a right, there should be an effective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Pleau</w:t>
      </w:r>
      <w:r>
        <w:rPr>
          <w:rFonts w:ascii="arial" w:eastAsia="arial" w:hAnsi="arial" w:cs="arial"/>
          <w:color w:val="000000"/>
          <w:sz w:val="20"/>
          <w:lang w:val="en-US" w:eastAsia="en-US" w:bidi="ar-SA"/>
        </w:rPr>
        <w:t xml:space="preserve"> was adopted by the British Columbia Supreme Court in </w:t>
      </w:r>
      <w:r>
        <w:rPr>
          <w:rFonts w:ascii="arial" w:eastAsia="arial" w:hAnsi="arial" w:cs="arial"/>
          <w:i/>
          <w:color w:val="000000"/>
          <w:sz w:val="20"/>
          <w:lang w:val="en-US" w:eastAsia="en-US" w:bidi="ar-SA"/>
        </w:rPr>
        <w:t>Moznik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Here, labour procedures do not provide "effective redress" for the plaintiff arising from the City's wrongful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 arbitration board has power to provide a final and conclusive settlement between parties to the Collective Agreement. It does not provide authority to provide a settlement with any party other than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criminal investigation and criminal proceedings against the plaintiff were instigated as a result of a search of the plaintiff's work station. The City did not pursue any discipline or complaint through the Collective Agreement, but instead criminal proceedings were launched.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At best, the City was complicit in allowing a criminal investigation to be instigated against the plaintiff by the RCMP. At worst, they instigated it. In either case, the criminal investigation was launched with the City's knowledge. They chose not to use their own disciplinary procedures or processes as a first recourse. As was stated by the Ontario Court of Appeal in </w:t>
      </w:r>
      <w:r>
        <w:rPr>
          <w:rFonts w:ascii="arial" w:eastAsia="arial" w:hAnsi="arial" w:cs="arial"/>
          <w:i/>
          <w:color w:val="000000"/>
          <w:sz w:val="20"/>
          <w:lang w:val="en-US" w:eastAsia="en-US" w:bidi="ar-SA"/>
        </w:rPr>
        <w:t>Piko v. Hudson's Bay Co.</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(1998), 41 O.R. (3d) 729</w:t>
        </w:r>
      </w:hyperlink>
      <w:r>
        <w:rPr>
          <w:rFonts w:ascii="arial" w:eastAsia="arial" w:hAnsi="arial" w:cs="arial"/>
          <w:color w:val="000000"/>
          <w:sz w:val="20"/>
          <w:lang w:val="en-US" w:eastAsia="en-US" w:bidi="ar-SA"/>
        </w:rPr>
        <w:t xml:space="preserve"> at 735 (Ont.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dispute centred on an employer's instigation of criminal proceedings against an employee, even for a workplace wrong, is not a dispute which in its essential character arises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claim is based on the actions of all the defendants, including the City, whose actions led to her injury. The claims include harassment, conspiracy, interference with contractual relations, intentional or negligent infliction of mental suffering, abuse or misfeasance in a public office, and defamation by people who are both within and without the operating structure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Collective Agreement provides no means for assessing the claims against those individuals who are not employees of the City, nor could it.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at para. 57, the SCC determined that a court may take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might occur that a remedy is required which the arbitrator is not empowered to grant. In such a case, the courts of inherent jurisdiction in each province may take jurisdiction. This Court in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confirmed that the New Brunswick Act did not oust the residual inherent jurisdiction of the superior courts to grant injunctions in labour matters (at p. 724).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arbitration under the Collective Agreement would not have authority to bind the defendants, other than the City, to any decision. Therefore, the grievance procedure, to which the applicant wishes to bind the plaintiff, cannot enforce a remedy against any of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cannot get the same remedy in the Collective Agreement process that she can get in court. This is because she has lost her security clearance which is exclusively in issue concerning the RCMP. However, the RCMP cannot be involved in the Collective Agreement process, because the Collective Agreement is only between the City and the plaintiff's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Arbitration has no power in the grievance process with respect to the security clearance laws because the RCMP will not be "at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Therefore, it is unfair to the plaintiff who has a need to tie them all together so that the entire picture of her employment situation can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City should not be severed from the court action. It is premature to determine where liability rests. If liability rests with the City, it is unfair to the plaintiff to be involved in a process (arbitration) where the RCMP is not "at the table". Therefore, she needs to be able to bring the City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order to avoid a multiplicity of proceedings, all three of these defendants should be dealt with in the court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Common Employer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City's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her application response, the plaintiff argues that this Court has jurisdiction over her claim against the City because the City and the RCMP "exercise common control over [her] such that they constitute one employer" and a grievance arbitrator or arbitration board would not have jurisdiction over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Reduced to its essentials, the plaintiff advances what is known as the doctrine of the "common employer" to advance a claim that would otherwise fall within the exclusive jurisdiction of a labour arbitration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argues for a novel and unprecedented application of the common employer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common employer doctrine has a long statutory history and is frequently applied by labour relations boards and employment standards tribunals in order to prevent the erosion of trade union rights and protect employee rights where an employer seeks to avoid its responsibilities by carrying on business through more than one entity or a complex multi-company corporate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Kingston v. GMA Cover Corp.</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2012 ONSC 5019</w:t>
        </w:r>
      </w:hyperlink>
      <w:r>
        <w:rPr>
          <w:rFonts w:ascii="arial" w:eastAsia="arial" w:hAnsi="arial" w:cs="arial"/>
          <w:color w:val="000000"/>
          <w:sz w:val="20"/>
          <w:lang w:val="en-US" w:eastAsia="en-US" w:bidi="ar-SA"/>
        </w:rPr>
        <w:t xml:space="preserve"> at para. 50,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purpose of the common law doctrine is similar to the underlying purpose behind the statutory provisions: to protect the legitimate rights of employees when there is uncertainty as to who the real employer is, or where a business is carried on through more than one entity. Employees have no control over corporate structures, or who makes decisions regarding their employment terms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court agreed at para. 52 that "the mere fact that there is a parent/subsidiary relationship between two corporations is insufficient, standing alone, to trigger the common employer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the leading B.C. case on the applicability of the common employer doctrine in the common law setting, </w:t>
      </w:r>
      <w:r>
        <w:rPr>
          <w:rFonts w:ascii="arial" w:eastAsia="arial" w:hAnsi="arial" w:cs="arial"/>
          <w:i/>
          <w:color w:val="000000"/>
          <w:sz w:val="20"/>
          <w:lang w:val="en-US" w:eastAsia="en-US" w:bidi="ar-SA"/>
        </w:rPr>
        <w:t>Sinclair v. Dover Engr. Services Ltd.</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(1987), 11 B.C.L.R. (2d) 176</w:t>
        </w:r>
      </w:hyperlink>
      <w:r>
        <w:rPr>
          <w:rFonts w:ascii="arial" w:eastAsia="arial" w:hAnsi="arial" w:cs="arial"/>
          <w:color w:val="000000"/>
          <w:sz w:val="20"/>
          <w:lang w:val="en-US" w:eastAsia="en-US" w:bidi="ar-SA"/>
        </w:rPr>
        <w:t xml:space="preserve"> (S.C.), aff'd </w:t>
      </w:r>
      <w:hyperlink r:id="rId359" w:history="1">
        <w:r>
          <w:rPr>
            <w:rFonts w:ascii="arial" w:eastAsia="arial" w:hAnsi="arial" w:cs="arial"/>
            <w:i/>
            <w:color w:val="0077CC"/>
            <w:sz w:val="20"/>
            <w:u w:val="single"/>
            <w:shd w:val="clear" w:color="auto" w:fill="FFFFFF"/>
            <w:lang w:val="en-US" w:eastAsia="en-US" w:bidi="ar-SA"/>
          </w:rPr>
          <w:t>(1988) 49 D.L.R. (4th) 297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Sinclair</w:t>
      </w:r>
      <w:r>
        <w:rPr>
          <w:rFonts w:ascii="arial" w:eastAsia="arial" w:hAnsi="arial" w:cs="arial"/>
          <w:color w:val="000000"/>
          <w:sz w:val="20"/>
          <w:lang w:val="en-US" w:eastAsia="en-US" w:bidi="ar-SA"/>
        </w:rPr>
        <w:t>], the B.C. Supreme Court said this at 181: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long as there exists a sufficient degree of relationship between the different legal entities who apparently compete for the role of employer, there is no reason in law or in equity why they ought not all to be regarded as one for the purpose of determining liability for obligations owed to those employees who, in effect, have served all without regard for any precise notion of to whom they were bound in contract. What will constitute a sufficient degree of relationship will depend, in each case, on the details of such relationship, including such factors as individual shareholdings, corporate shareholdings, and interlocking directorships. The essence of that relationship will be the element of common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case at bar does not involve a scenario where an employer is carrying on business through more than one entity or a complex multi-company corporate structure. Neither the City nor the RCMP is a company incorporated pursuant to corporate legislation. In addition, there is no attempt whatsoever on the part of the City to defeat legitimate employment rights of the plaintiff. The contrary is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With regard to the factors identified in</w:t>
      </w:r>
      <w:r>
        <w:rPr>
          <w:rFonts w:ascii="arial" w:eastAsia="arial" w:hAnsi="arial" w:cs="arial"/>
          <w:i/>
          <w:color w:val="000000"/>
          <w:sz w:val="20"/>
          <w:lang w:val="en-US" w:eastAsia="en-US" w:bidi="ar-SA"/>
        </w:rPr>
        <w:t xml:space="preserve"> Sinclair</w:t>
      </w:r>
      <w:r>
        <w:rPr>
          <w:rFonts w:ascii="arial" w:eastAsia="arial" w:hAnsi="arial" w:cs="arial"/>
          <w:color w:val="000000"/>
          <w:sz w:val="20"/>
          <w:lang w:val="en-US" w:eastAsia="en-US" w:bidi="ar-SA"/>
        </w:rPr>
        <w:t xml:space="preserve"> that indicate a "sufficient degree of relationship", there are, in this case, no "individual shareholdings", "corporate shareholdings" or "interlocking directorships".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only reason there is any degree of relationship between the City and the RCMP is the City has chosen to enter into a contract with the RCMP for the provision of the municipal police force and municipal police services. Like over 60 other B.C. municipalities, the City has done this by way of a MPUA and under the authority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City and the RCMP are a common employer. They are both the plaintiff's masters in interlocking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RCMP detachment in Coquitlam uses City employees to deal with disclosure issues. Those employees remain under the control and direction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RCMP and the City have entered into an agreement whereby employees, who have entered into a contract with the City, are performing work for the RCMP. They are working under the supervision of RCMP officers, providing the results of their work efforts to their RCMP supervisors, and acting in accordance with RCMP policy and guidelines. The true measure of control over the plaintiff was exerted by the RCMP, not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RCMP is not a party to the Collective Agreement between the City and the Union. An arbitrator under that Collective Agreement has no power to order the RCMP to change its security clearance or to accept a City paid staff person as a worker in the police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common employer status takes the dispute outside of the Collective Agreement, as the arbitrator has no power to make that determination - the RCMP is not a party before the arbitrator and failing to include the RCMP in this remedy would be a "real deprivation of ultimate remedy": </w:t>
      </w:r>
      <w:r>
        <w:rPr>
          <w:rFonts w:ascii="arial" w:eastAsia="arial" w:hAnsi="arial" w:cs="arial"/>
          <w:i/>
          <w:color w:val="000000"/>
          <w:sz w:val="20"/>
          <w:lang w:val="en-US" w:eastAsia="en-US" w:bidi="ar-SA"/>
        </w:rPr>
        <w:t>St. Anne Nackawic Pulp &amp; Paper Co. Ltd. v. Canadian Paper Workers Union, Local 219</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at 723.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doctrine of the common employer was first accepted by the courts of British Columbia in </w:t>
      </w:r>
      <w:r>
        <w:rPr>
          <w:rFonts w:ascii="arial" w:eastAsia="arial" w:hAnsi="arial" w:cs="arial"/>
          <w:i/>
          <w:color w:val="000000"/>
          <w:sz w:val="20"/>
          <w:lang w:val="en-US" w:eastAsia="en-US" w:bidi="ar-SA"/>
        </w:rPr>
        <w:t>Sinclair</w:t>
      </w:r>
      <w:r>
        <w:rPr>
          <w:rFonts w:ascii="arial" w:eastAsia="arial" w:hAnsi="arial" w:cs="arial"/>
          <w:color w:val="000000"/>
          <w:sz w:val="20"/>
          <w:lang w:val="en-US" w:eastAsia="en-US" w:bidi="ar-SA"/>
        </w:rPr>
        <w:t>. The court recognized that a single employer model was no longer appropriate for the realities of modern employment and stated at 181: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 no reason why such an inflexible notion of contract must necessarily be imposed upon the modern employment relationship. Recognizing the situation for what it was, I see no reason, in fact or in law, why both Dover and Cyril should not be regarded jointly as the plaintiff's employer. The old-fashioned notion that no man can serve two masters fails to recognize the realities of modern-day business, accounting and tax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For over 25 years, therefore, there has been recognition that a common employer situation can exist in a private employer setting. The purpose of the common employer doctrine is to protect the plaintiff including where she is being paid by one employer while working for another, a situation that should not be allowed to operate to the detriment of the plaintiff: </w:t>
      </w:r>
      <w:r>
        <w:rPr>
          <w:rFonts w:ascii="arial" w:eastAsia="arial" w:hAnsi="arial" w:cs="arial"/>
          <w:i/>
          <w:color w:val="000000"/>
          <w:sz w:val="20"/>
          <w:lang w:val="en-US" w:eastAsia="en-US" w:bidi="ar-SA"/>
        </w:rPr>
        <w:t>Sinclair</w:t>
      </w:r>
      <w:r>
        <w:rPr>
          <w:rFonts w:ascii="arial" w:eastAsia="arial" w:hAnsi="arial" w:cs="arial"/>
          <w:color w:val="000000"/>
          <w:sz w:val="20"/>
          <w:lang w:val="en-US" w:eastAsia="en-US" w:bidi="ar-SA"/>
        </w:rPr>
        <w:t xml:space="preserve"> at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Where there is more than one legal entity that is responsible for the management and control of the employee, the existence of a contract is not determinative of the employment relationship. In </w:t>
      </w:r>
      <w:r>
        <w:rPr>
          <w:rFonts w:ascii="arial" w:eastAsia="arial" w:hAnsi="arial" w:cs="arial"/>
          <w:i/>
          <w:color w:val="000000"/>
          <w:sz w:val="20"/>
          <w:lang w:val="en-US" w:eastAsia="en-US" w:bidi="ar-SA"/>
        </w:rPr>
        <w:t>Downtown Eatery (1993) Ltd. v. Ontario</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(2001), 54 O.R. (3d) 161</w:t>
        </w:r>
      </w:hyperlink>
      <w:r>
        <w:rPr>
          <w:rFonts w:ascii="arial" w:eastAsia="arial" w:hAnsi="arial" w:cs="arial"/>
          <w:color w:val="000000"/>
          <w:sz w:val="20"/>
          <w:lang w:val="en-US" w:eastAsia="en-US" w:bidi="ar-SA"/>
        </w:rPr>
        <w:t xml:space="preserve"> at para. 37 (C.A.) [</w:t>
      </w:r>
      <w:r>
        <w:rPr>
          <w:rFonts w:ascii="arial" w:eastAsia="arial" w:hAnsi="arial" w:cs="arial"/>
          <w:i/>
          <w:color w:val="000000"/>
          <w:sz w:val="20"/>
          <w:lang w:val="en-US" w:eastAsia="en-US" w:bidi="ar-SA"/>
        </w:rPr>
        <w:t>Downtown Eatery</w:t>
      </w:r>
      <w:r>
        <w:rPr>
          <w:rFonts w:ascii="arial" w:eastAsia="arial" w:hAnsi="arial" w:cs="arial"/>
          <w:color w:val="000000"/>
          <w:sz w:val="20"/>
          <w:lang w:val="en-US" w:eastAsia="en-US" w:bidi="ar-SA"/>
        </w:rPr>
        <w:t>], the Ontario Court of Appeal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contract is one factor to consider in the employer-employee relationship. However, it cannot be determinative; if it were, it would be too easy for employers to evade their obligations to dismissed employees by imposing employment contracts with shell companies with no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true determination of the employment relationship must be determined on the basis of where effective control over the employee resides: </w:t>
      </w:r>
      <w:r>
        <w:rPr>
          <w:rFonts w:ascii="arial" w:eastAsia="arial" w:hAnsi="arial" w:cs="arial"/>
          <w:i/>
          <w:color w:val="000000"/>
          <w:sz w:val="20"/>
          <w:lang w:val="en-US" w:eastAsia="en-US" w:bidi="ar-SA"/>
        </w:rPr>
        <w:t>Jones v. CAE Industries Ltd.</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(1991), 40 C.C.E.L. 236</w:t>
        </w:r>
      </w:hyperlink>
      <w:r>
        <w:rPr>
          <w:rFonts w:ascii="arial" w:eastAsia="arial" w:hAnsi="arial" w:cs="arial"/>
          <w:color w:val="000000"/>
          <w:sz w:val="20"/>
          <w:lang w:val="en-US" w:eastAsia="en-US" w:bidi="ar-SA"/>
        </w:rPr>
        <w:t xml:space="preserve"> at para. 26 (Ont. S.C.J.). Here that control is with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City's municipal staff who work in the Coquitlam detachment, including the plaintiff, are effectively controlled by the RCMP since they:</w:t>
      </w:r>
      <w:r>
        <w:rPr>
          <w:rFonts w:ascii="arial" w:eastAsia="arial" w:hAnsi="arial" w:cs="arial"/>
          <w:sz w:val="20"/>
          <w:lang w:val="en-US" w:eastAsia="en-US" w:bidi="ar-SA"/>
        </w:rPr>
        <w:cr/>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only work on RCMP police services business, and not on other City business;</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in a separate building which is only for the RCMP staff;</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directions on their work from RCMP members and Officers;</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subject to the RCMP Administrative Manual which sets out RCMP Policies and Procedures; and</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have clearance from RCMP security system to work in the Coquitlam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Other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control that are exercised by the RCMP over the plaintiff include: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job duties entail the disclosure of RCMP documents;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City documents or property are disclosed;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RCMP policies and federal privacy statutes guide her actions;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RCMP security clearance is required for duties;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RCMP issues and revokes the security clearance;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works within a secured RCMP computer system;</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reports to an RCMP supervisor;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receives work performance reviews from RCMP members using RCMP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Despite all the foregoing, it is not disputed the plaintiff's contract of employment is with the City. The City pays her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common employer doctrine is applicable. She was receiving direction and control from both the City and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Essential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Where the dispute arises expressly or inferentially out of a collective agreement, the jurisdiction of a labour arbitration board is exclusive. There is no overlapping or concurrent jurisdiction with the courts and, as a matter of law and policy, the courts should be loathe to usurp a role or function properly reserved to the grievance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Supreme Court of Canada has rejected the concurrent and overlapping jurisdiction models in favour of the exclusive jurisdiction model where a "dispute or difference between the parties arises out of the collective agreement".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the majority of the Court stated at paras. 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difference between the parties arises from the collective agreement, the claimant must proceed by arbitration and the courts have no power to entertain an action in respect of that dispute.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approach, the task of the judge or arbitrator determining the appropriate forum for the proceedings centres on whether the dispute or difference between the parties arises out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determination is to be made with reference "to the facts giving rise to the dispute" and not with reference to "the legal characterization of the wrong":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at para. 49. On more than one occasion the Court has provided a caution in this regard.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the majority of the Court stated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Underlying both the Court of Appeal and Supreme Court of Canada decisions in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is the insistence that the analysis of whether a matter falls within the exclusive arbitration clause must proceed on the basis of the facts surrounding the dispute between the parties, not on the basis of the legal issues which may be framed. The issue is not whether the </w:t>
      </w:r>
      <w:r>
        <w:rPr>
          <w:rFonts w:ascii="arial" w:eastAsia="arial" w:hAnsi="arial" w:cs="arial"/>
          <w:color w:val="000000"/>
          <w:sz w:val="20"/>
          <w:u w:val="single"/>
          <w:lang w:val="en-US" w:eastAsia="en-US" w:bidi="ar-SA"/>
        </w:rPr>
        <w:t>action</w:t>
      </w:r>
      <w:r>
        <w:rPr>
          <w:rFonts w:ascii="arial" w:eastAsia="arial" w:hAnsi="arial" w:cs="arial"/>
          <w:color w:val="000000"/>
          <w:sz w:val="20"/>
          <w:lang w:val="en-US" w:eastAsia="en-US" w:bidi="ar-SA"/>
        </w:rPr>
        <w:t xml:space="preserve">, defined legally, is independent of the collective agreement, but rather whether the </w:t>
      </w:r>
      <w:r>
        <w:rPr>
          <w:rFonts w:ascii="arial" w:eastAsia="arial" w:hAnsi="arial" w:cs="arial"/>
          <w:color w:val="000000"/>
          <w:sz w:val="20"/>
          <w:u w:val="single"/>
          <w:lang w:val="en-US" w:eastAsia="en-US" w:bidi="ar-SA"/>
        </w:rPr>
        <w:t>dispute</w:t>
      </w:r>
      <w:r>
        <w:rPr>
          <w:rFonts w:ascii="arial" w:eastAsia="arial" w:hAnsi="arial" w:cs="arial"/>
          <w:color w:val="000000"/>
          <w:sz w:val="20"/>
          <w:lang w:val="en-US" w:eastAsia="en-US" w:bidi="ar-SA"/>
        </w:rPr>
        <w:t xml:space="preserve"> is one "arising under [the] collective agreement". Where the dispute, regardless of how it may be characterized legally, arises under the collective agreement, then the jurisdiction to resolve it lies exclusively with the labour tribunal and the courts cannot try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the majority of the Court held that the tort action could not stand. Further, it held an action for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was also precluded by the collective agreement and applicable labour relations legislation. The majority concluded that "all aspects of the dispute" fell within the exclusive jurisdiction of a labour arbitration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majority reasoned as follows at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Isolated from the collective agreement, the conduct complained of in this case might well be argued to fall outside the normal scope of employer-employee relations. However, placed in the context of that agreement, the picture changes. The provisions of the agreement are broad, and expressly purport to regulate the conduct at the heart of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circumstances of this case, all of the plaintiff's concerns about the inadequacy of the Collective Agreement/labour procedures to address her needs and potential remedies are ill-founded.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am satisfied that, in the circumstances of this case, the dispute between the plaintiff and the City has the essential character of a workplace dispute. No doubt, it has other characteristics as well - abuse of power, and allegations of torts that may sometimes occur outside the workplace. Nevertheless, none of those change the dispute's essential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follows that the dispute, and its resolution, must be governed by labour relations practice and procedure. The Court has no jurisdiction to deal with it; alternatively, the Court declines to deal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It is true that an arbitrator will lack the power to reinstate the plaintiff to her position with the RCMP however:</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argument misses the point that the plaintiff never had a position with the RCMP; her position was always, and only, with the City;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this matter were permitted to proceed to trial in this Court, it would seem unlikely, in the extreme, that a judge would order the RCMP to reinstate the plaintiff to a position requiring a security clearance which they had revoked, in the absence of the agreement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Requiring the plaintiff to deal with the City using labour procedures does not preclude her from seeking whatever remedies she may be entitled to from the RCMP for whatever wrongs the RCMP may have caused to her. It simply means that she will have to pursue the RCMP in court, while the City will be dealt with according to the terms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Although the labour arbitrator will not be in a position to order the City to return the plaintiff's security clearance to her, she will still be in a position to award damages for any wrongful act committed by the City in this regard. And, the plaintiff will also be able to seek damages from the RCMP through the court system for any wrongful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Exclusive Bargaining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argument under this heading overlaps, and to some extent duplicates, the argument about "essential character". The conclusion about both arguments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is a bargaining unit employee. The Union is her certified bargaining agent and has exclusive authority to bargain and enforce the terms and conditions of employment for her as it does for every other employee in the bargaining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This means that any dispute arising out of the Collective Agreement has to be raised by the plaintiff with the Union and pursued, not through the court, but through the grievance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For employees in the bargaining unit, the grievance arbitration process is the exclusive means of resolving any dispute arising out of the Collective Agreement. In the concurring minority judgment in </w:t>
      </w:r>
      <w:r>
        <w:rPr>
          <w:rFonts w:ascii="arial" w:eastAsia="arial" w:hAnsi="arial" w:cs="arial"/>
          <w:i/>
          <w:color w:val="000000"/>
          <w:sz w:val="20"/>
          <w:lang w:val="en-US" w:eastAsia="en-US" w:bidi="ar-SA"/>
        </w:rPr>
        <w:t>Ferreira</w:t>
      </w:r>
      <w:r>
        <w:rPr>
          <w:rFonts w:ascii="arial" w:eastAsia="arial" w:hAnsi="arial" w:cs="arial"/>
          <w:color w:val="000000"/>
          <w:sz w:val="20"/>
          <w:lang w:val="en-US" w:eastAsia="en-US" w:bidi="ar-SA"/>
        </w:rPr>
        <w:t xml:space="preserve"> at para. 83, where Madam Justice Saunders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as the certificate of bargaining authority granted in favour of the Union disentitles the City from negotiating individual terms of employment with Mr. Ferreira, so too the role of the Union prevents Mr. Ferreira from suing for breach of a term of his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grievance arbitration process is well-suited to resolving disputes arising out of collective agreements and can, if necessary, provide an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Every one of the plaintiff's concerns about deficiencies in the grievance procedure can be met and accommodated by that procedure. In particular, the absence of the RCMP as a party of the grievance procedure in no way leaves the plaintiff at a disadvantage. This is so for the following reasons: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witnesses from the RCMP can be subpoenaed to give evidence at the grievance procedure;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arbitrator cannot award any remedy against the RCMP during the procedure, it can certainly award damages, or any other remedy that the plaintiff might be entitled to, against the City;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damages, or other remedy, against the RCMP to which the plaintiff may be entitled, will still be available to her through the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She will also have all available remedies that she is seeking from the RCMP available to her through the court process. The argument that the RCMP will not be "at the table" is not quite accurate. It is true that they will not be at the same table. Nevertheless, they will be at a (different) table and both tables are able to provide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is true that the Union has no power to do anything with respect to the RCMP or the Province. However, this does not deny the plaintiff her remedies. It merely means that the remedies sought against the City will be pursued in a different forum than the remedies sought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will have available to her, through the labour process, all potential remedies that she is seeking from the City, including damages for all manner of claims, including torts.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Common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While the B.C. Court of Appeal did not overturn the trial decision in </w:t>
      </w:r>
      <w:r>
        <w:rPr>
          <w:rFonts w:ascii="arial" w:eastAsia="arial" w:hAnsi="arial" w:cs="arial"/>
          <w:i/>
          <w:color w:val="000000"/>
          <w:sz w:val="20"/>
          <w:lang w:val="en-US" w:eastAsia="en-US" w:bidi="ar-SA"/>
        </w:rPr>
        <w:t>Sinclair</w:t>
      </w:r>
      <w:r>
        <w:rPr>
          <w:rFonts w:ascii="arial" w:eastAsia="arial" w:hAnsi="arial" w:cs="arial"/>
          <w:color w:val="000000"/>
          <w:sz w:val="20"/>
          <w:lang w:val="en-US" w:eastAsia="en-US" w:bidi="ar-SA"/>
        </w:rPr>
        <w:t>, it did approach the case differently than the trial judge did. The majority of the Court did not focus on the degree of relationship between the companies in question but on "the company or companies with which the [employee] had a contract of employment" at 299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in my opinion, reduces itself to one of determining which company or companies entered into a contract of employment with Mr. Sinclair pursuant to which he would provide services in return for his salary and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differs in some respects from the rationale expressed by the learned trial judge as to the relevance of the interrelationship of the various corporations referred to in his reasons for judgment. In my respectful opinion there is no need to concern oneself with the concept of "lifting the corporate veil" or with the vicarious responsibility of one company for the acts of another, since I consider the issue to be one of determining the company or companies with which the respondent Sinclair had a contract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clear that the plaintiff has a contract of employment with the City, and no such contract with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deciding whether to apply the common employer doctrine, this Court should be guided by the purpose of the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This is clearly illustrated in </w:t>
      </w:r>
      <w:r>
        <w:rPr>
          <w:rFonts w:ascii="arial" w:eastAsia="arial" w:hAnsi="arial" w:cs="arial"/>
          <w:i/>
          <w:color w:val="000000"/>
          <w:sz w:val="20"/>
          <w:lang w:val="en-US" w:eastAsia="en-US" w:bidi="ar-SA"/>
        </w:rPr>
        <w:t>Colak v. UV Systems Technology Inc.</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2007 BCCA 220</w:t>
        </w:r>
      </w:hyperlink>
      <w:r>
        <w:rPr>
          <w:rFonts w:ascii="arial" w:eastAsia="arial" w:hAnsi="arial" w:cs="arial"/>
          <w:color w:val="000000"/>
          <w:sz w:val="20"/>
          <w:lang w:val="en-US" w:eastAsia="en-US" w:bidi="ar-SA"/>
        </w:rPr>
        <w:t>, a case in which the issue was whether the employer and its parent corporation were a common employer. The B.C. Court of Appeal declined to find a common employer relationship between the employer and its parent corporation. Focusing on the purpose of the common employer doctrine and the facts of the case, the Court reasoned as follows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was not a situation where a shell company was established to enter contracts that effectively protect the parent from suit by an employee, nor one where the complexity of the corporate arrangements works an injustice on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am satisfied that, in the circumstances of this case, the common employer doctrine is not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Multiplicity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has raised the issue of multiplicity of proceedings. This results in this court being faced with two important competing principles: Essential Character versus Multiplicity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the circumstances of this case, the principle of multiplicity of proceedings is not sufficient to trump the determinations already made with respect to the essential character of this dispute, and the exclusivity of the exclusive bargaining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the plaintiff who was already started a multiplicity of proceedings. In addition to the lawsuit, she has commenced grievances under the Collective Agreement. In other words, at the moment, a multiplicity of proceedings already exists as a result of the plaintiff having commenced two different types of proceedings. This decision will reduce the number of those proceedings to one, at least insofar as the City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is true that the plaintiff may continue to be involved in two proceedings - the labour process involving the City, and the court process involving the RCMP and the Province. However, I reject as unlikely the concern expressed by the plaintiff that the existence of these two different proceedings might result in the embarrassment of conflicting results. This is because the defendants are different in the two proceedings. Even if the plaintiff is successful against the defendants in one of the proceedings, but unsuccessful against the defendants in the other proceedings, there is no embarrassment that is likely to flow from those differing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PROVINCE'S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Province applies to strike out the claim against it for failure to disclose a cause of action pursuant to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During oral submissions, the plaintiff submits that its claim against the Province rests upon the actions of two persons working for the Province's Crown Counsel office:</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prosecutor who wrote a letter of caution to the plaintiff when advising her that charges had not been approved;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Info/Privacy Coordinator who sent a letter to Supt. Wilcott advising of the contents of the prosecutor's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Arising out of the foregoing, the plaintiff argues that, as a result of the foregoing, the Province is liable for defamation, breach of privacy,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conspiracy, interference with contractual relations, harassment, intentional infliction of nervous shock, and misfeasance of public office/abuse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Rule 9-5(1) is the applicable rule which sets out when a court can strike all or part of a pleading. This section sets out: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9-5(1) At any stage of a proceeding, the court may order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be struck out or amended the whole or any part of 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pleading, petition or other document on the ground that</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Rule 9-5(2) states that no evidence is admissible on an application of this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analysis under an application to strike under Rule 9-5 must be taken as if the facts alleged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order to succeed in an application to have the claim struck, an applicant must demonstrate that it is "plain and obvious" that the plaintiff's pleadings disclose no reasonable cause of action: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the British Columbia Court of Appeal stated in </w:t>
      </w:r>
      <w:r>
        <w:rPr>
          <w:rFonts w:ascii="arial" w:eastAsia="arial" w:hAnsi="arial" w:cs="arial"/>
          <w:i/>
          <w:color w:val="000000"/>
          <w:sz w:val="20"/>
          <w:lang w:val="en-US" w:eastAsia="en-US" w:bidi="ar-SA"/>
        </w:rPr>
        <w:t>Bow Valley Resource Services v. Kansa General Insurance Co.</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(1991), 56 B.C.L.R. (2d) 337</w:t>
        </w:r>
      </w:hyperlink>
      <w:r>
        <w:rPr>
          <w:rFonts w:ascii="arial" w:eastAsia="arial" w:hAnsi="arial" w:cs="arial"/>
          <w:color w:val="000000"/>
          <w:sz w:val="20"/>
          <w:lang w:val="en-US" w:eastAsia="en-US" w:bidi="ar-SA"/>
        </w:rPr>
        <w:t xml:space="preserve"> at paras. 8-9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it is not always appropriate to confine complicated litigation, as this clearly is, within labels or general statements of principle arising out of one or more authorities. My view is that the recent jurisprudence, particularly in </w:t>
      </w:r>
      <w:r>
        <w:rPr>
          <w:rFonts w:ascii="arial" w:eastAsia="arial" w:hAnsi="arial" w:cs="arial"/>
          <w:i/>
          <w:color w:val="000000"/>
          <w:sz w:val="20"/>
          <w:lang w:val="en-US" w:eastAsia="en-US" w:bidi="ar-SA"/>
        </w:rPr>
        <w:t>Hunt v. Carey-Canada Inc.</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leaves us with a clear message particularly in a case of this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case confirms the Canadian trend of requiring important and novel causes of action to be resolved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Province argues that it is plain and obvious on the plaintiff's pleadings that each of her claims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argues that the issues pursued in this litigation are both complicated and novel. As has been found by the SCC, the novelty, length, complexity of an action, or the potential for a strong defense should not be used as justification to prevent the Plaintiff from proceeding with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Prosecutorial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Canadian law accords Crown Counsel a qualified immunity from civil suit in respect of their conduct of criminal prosecutions. The immunity is "qualified" only insofar as it gives way to bad faith of a type actionable through the tort of malicious prosecution; absent such bad faith, the actions of Crown Counsel in the initiation and conduct of a criminal prosecution do not give rise to a remedy in damages: </w:t>
      </w:r>
      <w:r>
        <w:rPr>
          <w:rFonts w:ascii="arial" w:eastAsia="arial" w:hAnsi="arial" w:cs="arial"/>
          <w:i/>
          <w:color w:val="000000"/>
          <w:sz w:val="20"/>
          <w:lang w:val="en-US" w:eastAsia="en-US" w:bidi="ar-SA"/>
        </w:rPr>
        <w:t>Hoem v. Law Society of British Columbia</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(1984), 52 B.C.L.R. 219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2012 BCSC 1401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immunity accorded to Crown Counsel reflects the quasi-judicial nature of the duties they perform which includes the determination of whether a criminal charge will be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this case, it is clear that no charge was ever laid. I assume this is the reason why malicious prosecution is not one of the named causes of action in the plaintiff's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am satisfied that where Crown Counsel is immune, in the absence of malice, from damages with respect to a decision to prosecute, it is similarly immune where it has made a decision, absent malice, not to prosecute. The prosecutor, who in this case made the decision not to charge, is protected by qualified immunity with respect to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Although the prosecutor has qualified immunity, it does not follow that this immunity would prevent the prosecutor from being civilly responsible for every conceivable tort. Consequently, it is necessary to consider each of the causes of action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Further, while the qualified immunity is applicable to a prosecutor, it is not applicable to the Info/Privacy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Info/Privacy Coordinator is not involved in the charge-approval process and does not perform a quasi-judicial function when performing the duties of providing information to members of the public under the relevant legislation. The fact that this person may be employed in the Crown Counsel office does not alter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facts pleaded with respect to the prosecutor are as follows (I paraphrase):</w:t>
      </w:r>
      <w:r>
        <w:rPr>
          <w:rFonts w:ascii="arial" w:eastAsia="arial" w:hAnsi="arial" w:cs="arial"/>
          <w:sz w:val="20"/>
          <w:lang w:val="en-US" w:eastAsia="en-US" w:bidi="ar-SA"/>
        </w:rPr>
        <w:cr/>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deciding not to lay a criminal charge against the plaintiff;</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writing a letter to the plaintiff advising:</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criminal charge would not be laid;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why the charge would not be laid;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prosecutor's view that the plaintiff's alleged activities were nevertheless of concern;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letter would be kept on file for further consideration if there were further reports about the plaintiff;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sending the letter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facts pleaded with respect to the Info/Privacy Coordinator are as follows (I paraphrase except where there are quotation marks):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a request from Supt. Wilcott, she declined to provide him with a copy of the prosecutor's letter, but revealed in her own letter details of the contents of the prosecutor's letter and of the police report;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advised Supt. Wilcott in her letter that the Crown had "concluded that there was evidence to justify a prosecution";</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to Supt. Wilcott about the Crown's conclusion was not, in fact, expressly stated in the Crown's letter to the plaintiff;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to Supt. Wilcott had subsequently been distributed to others in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am satisfied that there are no facts directly pleaded with respect to the prosecutor which are capable of being considered torts or wrongdoings. There are no facts pleaded which suggest bad faith on her part, malice, or any conduct that could be described as other than fair, impartial, and reasonable. Bald assertions to the contrary, in the NOCC, are not sufficient; if it were otherwise, an application to strike could never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my view, it is plain and obvious that the action against the Province, based upon the prosecutor's conduct, will fail. It is plain and obvious that the facts alleged in the NOCC with respect to her conduct, even if all true, do not disclose a reasonable cause of action with respect to any of the specific torts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If the prosecutor's actions were the only basis for the claim against the Province, the application to strike would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However, the Province is also named as a defendant as a result of the actions of the Info/Privacy Coordinator. With respect to her actions, my conclusion is different. This is not because I think that what is claimed in the NOCC leads to a conclusion of wrongdoing. I am unable to come to that conclusion based upon the materials before me. Having said that, the facts pleaded must be taken as true for the purposes of this application. And the fact that the Info/Privacy Coordinator made a comment in her letter to Supt. Wilcott which was not expressly stated in the prosecutor's letter provides the factual basis which must result in this application to strike being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NOCC notes that the Info/Privacy Coordinator advised Supt. Wilcott, in writing, that the Crown had "concluded that there was evidence to justify a prosecution". This may well have been a reasonable interpretation of what the prosecutor's letter meant and/or what the prosecutor intended it to mean. However, it is not the only possible interpretation, and on the basis of that comment alone (and the fact that it is not literally present in the prosecutor's letter) the plaintiff is entitled to have a trial to determine, among other things, whether or not:</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untrue statement;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correct interpretation of what the prosecutor's letter was intending to say;</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Supt. Wilcott was a person who was entitled to receive the letter;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Info/Privacy Coordinator intended that the letter would be distributed to persons other than Supt. Wilcott.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Depending upon the answers to those questions (and other questions), there is a basis upon which the claims with respect to all the torts named in the NOCC must be permitted to proceed past this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For the foregoing reasons, the application by the Province to strike the claim against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application of the City is allowed. The action against it is dismissed. Alternatively, it is stayed. Alternatively, the Court declines to hear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application of the Province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A.H. 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Miller v. Emil Anderson Maintenance Co., [2013] B.C.J. No. 2749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4-6,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30,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M106110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Jacob Theodore Miller, Plaintiff, and Emil Anderson Maintenance Co. Ltd., John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8" w:name="Keywords_18"/>
      <w:bookmarkEnd w:id="118"/>
      <w:r>
        <w:rPr>
          <w:rFonts w:ascii="arial" w:eastAsia="arial" w:hAnsi="arial" w:cs="arial"/>
          <w:b/>
          <w:color w:val="000000"/>
          <w:sz w:val="20"/>
          <w:lang w:val="en-US" w:eastAsia="en-US" w:bidi="ar-SA"/>
        </w:rPr>
        <w:t>Civil litigation — Civil evidence — Witnesses — Credibility — Prior inconsistent statements — Action by Miller for damages from motor vehicle accident dismissed — Miller suffered damages when his truck slid off road into rock face — Miller argued sanding truck owned by defendant struck him — Miller's contention accident could only be caused by coming into contact with other vehicle not supported by any expert evidence — Contradictions in Miller's evidence about lane he was travelling in and distance between him and alleged sanding truck undermined its reliability — Independent credible witness testified incident was single vehicle accident — Accident not caused by Miller's truck coming into contact with other vehicle.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Motor vehicles — Liability of owner — Action by Miller for damages from motor vehicle accident dismissed — Miller suffered damages when his truck slid off road into rock face — Miller argued sanding truck owned by defendant struck him — Miller's contention accident could only be caused by coming into contact with other vehicle not supported by any expert evidence — Contradictions in Miller's evidence about lane he was travelling in and distance between him and alleged sanding truck undermined its reliability — Independent credible witness testified incident was single vehicle accident — Accident not caused by Miller's truck coming into contact with other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9" w:name="Case Summary_16"/>
            <w:bookmarkEnd w:id="1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Miller for damages from a motor vehicle accident. Miller suffered damages when a truck he was driving slid off the road and struck a rock face. Miller argued that a sanding truck owned by the defendant struck him and caused the accident. The defendant argued that the road was covered in black ice and that the incident was a single vehicle accident. While no other witnesses saw another vehicle involved in the accident, Miller argued that the circumstances in which the accident happened could only have been caused by Miller's truck coming into contact with another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0" w:name="Holdings of Court_12"/>
            <w:bookmarkEnd w:id="120"/>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reliability of Miller's evidence was undermined by internal contradictions concerning the lane he was travelling in and the distance between him and the alleged sanding truck. Miller's contention that another vehicle caused the accident was contradicted by an independent credible witness who gave evidence that it was a single vehicle accident. Miller failed to adduce any expert evidence in support of his assertion that the accident could only have been caused by coming into contact with other vehicle. The evidence failed to establish that the cause of the accident was contact with another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1" w:name="Counsel_18"/>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M.C. Spieker.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 Hemmerling.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18"/>
      <w:bookmarkEnd w:id="122"/>
      <w:r>
        <w:pict>
          <v:line id="_x0000_s1116" style="position:absolute;z-index:251780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S.K. BALLANCE J. (orally)"/>
            <w:bookmarkEnd w:id="123"/>
            <w:r>
              <w:rPr>
                <w:rFonts w:ascii="arial" w:eastAsia="arial" w:hAnsi="arial" w:cs="arial"/>
                <w:b/>
                <w:color w:val="000000"/>
                <w:sz w:val="30"/>
                <w:lang w:val="en-US" w:eastAsia="en-US" w:bidi="ar-SA"/>
              </w:rPr>
              <w:t>S.K. BALLANCE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It was mid-morning on Christmas Eve, 2008, when the plaintiff, Jacob Miller, accompanied by his two dogs, headed out from his home near Hope, British Columbia to visit his daughter in White Rock. He drove a Pathfinder SUV that he had purchased about six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Miller's route took him westbound along Highway 1. He had driven that roadway many times and knew it well. As the highway approaches the Herrling Island exit, the two westbound lanes gently start to wind in an S-like shape, curving first to the left and then to the right, with a slight uphill grade. It was in that area that Mr. Miller's vehicle veered off the road and collided with the side of a jagged rock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Miller claims that a sanding truck owned and operated by an employee of the defendant, Emil Anderson Maintenance Co. Ltd., or an unknown vehicle driven by an unknown individual, struck his vehicle and caused him to lose control and hit the rock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say that this was a single-car accident and that a sheet of black ice or something other than contact with another vehicle caused Mr. Miller to leave the roadway and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Miller was 73 years old at the time of the incident. In the 1960s, he served overseas with distinction in both the army and the air force. Upon his return to civilian life and while still a young man, he held a number of jobs where he drove a vehicle as part of his livelihood. Mr. Miller later moved from Ontario to British Columbia, where he enjoyed success as an independent mining prospector, relocating to the Hope area in about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morning of the accident, Mr. Miller loaded his Pathfinder with Christmas presents for his daughter and her family. The two back seats were laid flat to provide an open area for his beloved dogs; they were not tethered inside the vehicle. The evidence establishes that Mr. Miller's Pathfinder was roadworthy and in excellent condition, and that its all-terrain tires were practically brand new. The day was overcast and extremely cold, but Mr. Miller had no reservations about making the trip based on the weather or road conditions. He set out along Highway 1 between approximately 10:30 and 11:00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Several kilometres before the Herrling Island exit, Mr. Miller recalled encountering what he initially thought was an extreme sandstorm. He noticed that the sand covered the surface of the entire roadway and obscured his sight line. He was certain that the material was sand and not snow. He was not able to tell whether the sand was being blown into his path from across the highway or from directly in front of him. Given those conditions, he says he proceeded with extreme caution at a speed of about 40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Eventually the stream of sand thinned out somewhat, and Mr. Miller was able to make out the shape of a vehicle driving ahead of him which he determined was the source of the blasting sand. He had started off in the right-hand lane behind that vehicle and did not recall the left lane being covered in packed snow. Although the sand covered the entire highway, including the pavement markings that divided the two lanes, Mr. Miller believed he was still travelling in the right lane when the sand dissipated.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following the slow-moving vehicle that was still spewing sand, a dark-coloured pickup truck roared past him in what Mr. Miller believes was the left-hand lane. The truck was equipped with unusually large off-road tires, raised suspension, and an extra set of front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travelling "at least a couple of kilometres further", the cloud of sand suddenly cleared, enabling Mr. Miller to see the highway and "a big dirty blob of a vehicle" ahead. He believed it was a dump truck or something like that. Mr. Miller had been driving at a pace of 40 kilometres per hour for a distance of roughly four kilometres and was eager to pass the truck and, in his words, "get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Seeing no other vehicles around, he pulled out to his left and gradually began to overtake the truck, now situated on his right, at a speed that he "guesstimated" as approximately 60 kilometres per hour. At this juncture, the highway was in a gradual curve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Miller was curious about why the truck ahead had been travelling so slowly and dumping what he considered to be an excessive amount of sand along the highway, so when he was parallel with the cab of the truck, he glanced over at it. He was able to see the driver, who looked young and somewhat slumped in his seat, looking forward. He could see that it was an older vehicle with a dated paint job and rust spots. He also noticed what appeared to be an upside down letter "V" on the door of the cab. Mr. Miller had seen the same "V" emblem on the local highway maintenance vehicles over the years. He testified that when he had cleared past the truck by a distance of two car lengths at most, he checked his rear-view mirror and saw the truck's headlights. That was the last time he saw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Mr. Miller was reminded that at his examination for discovery held some three months earlier, he had answered that when he saw the truck in his rear-view mirror, he was a distance of "... about two and a bit, two and a half vehicles. Two and a half times the length of my vehicle roughly". Mr. Miller said he stood by his estimation of a maximum of two car lengths. However, later in his cross-examination and without further explanation, he described the distance as being two to two and a half car lengths, which was consistent with his discovery evidence and which I find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Nearly immediately after seeing the truck in his rear-view mirror, Mr. Miller noted the presence of sheer black ice covering the entire surface of the road like a sheet of glass. He took his foot off the gas which slowed down his vehicle, but did not apply his brakes, as he understood that would be a foolhardy manoeuvre on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Miller gave inconsistent evidence about the position of his Pathfinder when he encountered the black ice, both in terms of the lane he was driving in and the distance he was from the truck he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one point in his direct evidence, Mr. Miller testified that he was in the right lane, but at another time he said he was only partly in the right lane, and further still at yet a different time, testified that he had returned to the left lane when he came upon the black ice and decelerated. In cross-examination, Mr. Miller testified that he was in the right lane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Miller also claimed that when he removed his foot from the gas, he was only one and a half to two car lengths in front of the truck. That evidence was at odds with the preponderance of Mr. Miller's other testimony that I accept to the effect that when he last saw that truck, which was when he looked at it through his rear-view mirror, he was a distance of two and a half car lengths ahead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to decelerating, Mr. Miller altered his course. Rather than following the left curve of his lane, he drove straight ahead, expecting that because of the leftward curve in the highway, he would end up on the shoulder of the right lane. However, things did not unfold as Mr. Miller had anticipated. His testimony is that within two or three seconds after decelerating, and while still on the ice, he felt what he variously characterized as a "shunt", "bunt", or "bump" to his vehicle. He did not see anything hit him or hear the sound of an impact, and said he could only "guess why" he felt the bump. One of his dogs banged into the back of his seat and the other slid through the opening between the two front seats and into the dashboard. Mr. Miller was not able to control his vehicle as it changed direction and began to move to the left. He saw the mountain wall coming upon him fast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next thing Mr. Miller remembered was being "crumpled up" under his vehicle's dashboard. He believes that he had lost consciousness. He had to reach up, not down, to the dashboard to turn off the radio because his vehicle was upside down. He recalled little about the goings-on at the scene. He was transported by ambulance to the Chilliwack General Hospital and his vehicle was towed from the site and impounded.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evidence was a copy of the corporate logo of the first named defendant. It is comprised of the capital letters "EAM", depicted in a three-dimensional block-letter style. The "A" has the most prominent font and sits on a raised horizontal slab inscribed with the name "Emil Anderson". The "A" stands out from the two other letters and could quite reasonably be described as an inverted letter "V".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turn now to the evidence of Constable Jim Moir about the accident. Constable Moir explained that there were icy roads and a lot of snow in the area that Christmas Eve day. He had been called from "crash to crash" because of the weather. The entry in his notebook described the weather as cloudy and snowy.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Moir was dispatched to the crash site at 12:03 that afternoon and arrived at some point within the next 42 minutes. He testified that the roads approaching the scene were covered with relatively fresh snow. When he arrived, he saw Mr. Miller's vehicle off the road in a ditch or drainage area that lay between the cliff face and the shoulder of the westbound left lane of the highway. He recalled that the vehicle was upside down, pinned against the rock wall, and facing eastward, back towards the way it had come. He confirmed that the incident had occurred where Highway 1 curves to the left before the Herrling Island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Because the ambulance crew was already there, Constable Moir focussed on public safety concerns and spoke to "many people" at the scene. He wrote the names and contact particulars of three of them in his notebook. In particular, he made a notation that Dennis Voyer had witnessed the accident and at approximately 12:45 p.m. recorded Mr. Voyer's full name, date of birth, and telephone number. He recalled speaking with Mr. Voyer at the scene but did not document and could not recall the specifics of their discussion. He did not take any formal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One of the individuals Constable Moir spoke to was trying to collect Mr. Miller's dogs, and he understood that another person, whom I find was Dennis Voyer, was supervising traffic. Based on the information he gathered from the individuals at the site, including Mr. Voyer, Constable Moir concluded that the incident was a single-vehicle crash and that no other vehicle had been involved, which he reported in his traffic report and a separate narrative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Dennis Voyer was travelling alone in his pickup truck from his home in Westbank en route to Vancouver along Highway 1. His truck was a factory version equipped with normal tires, was not "lifted" and did not have an extra set of lights. The tires were effectively brand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Voyer had used the cruise control feature on his truck earlier in his journey, but disengaged it when he connected onto Highway 1 and noticed the presence of shiny black ice in the westbound, right-hand lane. He credibly recalled that the westbound left lane was covered in snow, and that he elected to drive in that lane because he considered it safer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His recollection is that there were "not a lot" of vehicles on the highway between Hope and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Mr. Voyer approached the S-curve in the highway, he noticed two vehicles ahead of him, traveling in the right lane. One of them was a dark blue "Jimmy or Jeep-type" SUV; the other was a white sedan with the body style of a Crown Victoria. He testified that he was traveling at a speed of approximately 100 kilometres per hour and guessed that the speed of the two vehicles in the right lane was "maybe, give or take" 80 or 90 kilometres per hour. He did not recall seeing any blowing sand or snow as he approached the two vehicles, and believed it was "clear sailing" as he overtook them, while remaining in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Mr. Voyer, within one to two minutes and while he was still in the left lane, an SUV that appeared to be the same SUV he had just overtaken, passed by him in the right lane. He believes that by that stage his speed and that of the two other vehicles was approximately 90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testified that very shortly after the SUV had overtaken him in the adjacent lane, and when its rear was only half a car length or so ahead, which corresponded in Mr. Voyer's mind to about ten or so feet, it began to slide to the left. Immediately, Mr. Voyer removed his foot from the gas, which caused his truck to slow enough to avoid colliding with the left-veering SUV. He watched the SUV slide leftward and in front of his vehicle by a mere 10 feet or less and, when it appeared to be perpendicular to the cliff face seemed to plow right into it. According to Mr. Voyer, the SUV then turned 180 degrees and landed on its roof. In cross-examination, he recalled that he saw the SUV flip when it was approximately 45 degrees to his left, which he clarified meant slightly to his front and left. He further recalled that by the time the SUV landed on its roof, it was pretty much parallel to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the accident, Mr. Voyer pulled over onto the right shoulder, backed up and parked a short distance from the collision. He said he did not have to avoid any oncoming traffic in order to do so. The white sedan pulled onto the right shoulder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Voyer credibly testified that, at that time, his pickup, the SUV and the white sedan were the only vehicles on that part of the highway. He did not recall seeing a vehicle come into contact with the SUV at any time prior to the accident and was particularly adamant that a sanding truck had not hit it. Indeed, he testified that he did not recall seeing a sanding truck on the highway at all that day although, when pressed in cross-examination, he "guessed" it was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Voyer noticed a dog near the crashed SUV and was concerned that if it remained on the loose, it might cause another accident. Despite his efforts, he was unable to catch it. Mr. Voyer also saw a person, whom he believed to be the driver of the white car head to the site to check on the occupant of the upside-down SUV. Other vehicles were now appearing on the road, and he felt he would be most useful directing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Voyer recalled speaking to an RCMP officer at the scene, whom I find was Constable Moir. He explained what he had seen in relation to the crash and the officer told him he was free to go. In all, Mr. Voyer has spoken about the incident to two RCMP officers, at least two representatives from the Insurance Corporation of British Columbia, and two or three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One of the persons who subsequently questioned Mr. Voyer about the accident was Chris Drinovz, who was then a summer articled student with the law firm representing Mr. Miller. Approximately five months after the accident, he spoke with Mr. Voyer over the telephone and prepared a memorandum recording aspects of their conversation. It was one of the first times Mr. Drinovz had ever interviewed a witness in a legal proceeding. The memorandum was not sent to Mr. Voyer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Mr. Drinovz agreed that his memorandum was not a verbatim transcript of what Mr. Voyer said and agreed it was difficult at this late date to parse out the statements that were direct quotations from those that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closing submissions, Mr. Miller's counsel contended that there were striking dissimilarities between Mr. Voyer's trial testimony and the contents of the memorandum on key matters. In my view, Mr. Voyer did not give dissimilar evidence on the issues identified by Mr. Miller's counsel or on any central issues at trial. In any case, Mr. Voyer was not cross-examined about what he may have said to the articling student, including any alleged inconsistencies. In the end, this evidence did not impugn Mr. Voyer's credibility or the reliability of his evidence, nor did it advance Mr. Miller's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tenor of the cross-examination of Mr. Voyer suggested that perhaps he had witnessed another accident that happened at a different time and different place along the highway that day. Not only did Mr. Voyer's testimony persuasively refute that suggestion, Constable Moir's notes put it beyond doubt that the incident Mr. Voyer witnessed was the crash involving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Miller's counsel also questioned Mr. Voyer about whether it had in fact been his vehicle that bumped into Mr. Miller's Pathfinder and caused him to crash. Mr. Voyer persuasively denied that suggestion. There is no cogent evidentiary foundation to support Mr. Miller's feeble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will next summarize the events at the Chilliwack General Hospital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Tammy Paulgaard-McKnight was the emergency room physician on duty at the Chilliwack General Hospital at the time of Mr. Miller's admission. It was a busy day in the E.R. Dr. Paulgaard-McKnight attended to Mr. Miller's intake in emergency. Under her direction, Mr. Miller underwent a number of investigations, including an EKG, X-rays, and a CT scan. She had several encounters with him and reassessed him a number of times throughout her shift on December 24th that ended at 9:00 p.m.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the doctor could not independently recall the medical aspects of Mr. Miller's case, she did have an independent recollection of him in a general way, including that the hospital staff had made efforts to find him a ride home on December 24th, but were not able to do so, as she noticed he was still there when she returned for her shift on Christmas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establishes that, adhering to her customary practice, Dr. Paulgaard-McKnight made notes of her discussions and observations with Mr. Miller throughout the course of her interaction with him and then dictated her notes at about 9:35 p.m. that evening. Her dictated notes were admitted into evidence for a non-hearsay purpose, and she was cross-examined about the source of certain of its contents. She clarified that some of the information she recorded would have come from Mr. Miller, other pieces would likely have come from the ambulance crew, and that she could not be sure of the source of other entries.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Mr. Miller's hospital chart, Dr. Paulgaard-McKnight recorded that he was alert and oriented as to person, place, time and events of the day. She also noted that he scored 15 on the Glasgow Coma Scale administered to assess his level of consciousness, and testified it remained at that level throughout his stay. Dr. Paulgaard-McKnight could not be sure whether she had assessed Mr. Miller's orientation and consciousness or a paramedic had done so at the scene and relayed the findings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Paulgaard-McKnight explained that her usual practice is to ask a conscious patient about the mechanics of the injury upon presentation at the hospital. She expanded that she would typically ask simple questions such as "what happened?"; "how fast were you going?"; "did your airbags deploy?"; and "were you wearing your seat belt?" Her reasons for doing so are twofold; first, to assess the nature and seriousness of the impact; and second, to determine whether the patient lost consciousness and assess for pre and/or post-traumatic amnesia. I am satisfied Dr. Paulgaard-McKnight followed this protocol with Mr. Miller that day. That said, in her role as an emergency physician the details of the accident are, understandably, not among her chief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Paulgaard-McKnight summarized the incident in Mr. Miller's hospital chart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HISTORY OF PRESENT ILLNESS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Miller] presented to the emergency room following a single vehicle rollover accident. Currently, according to [Mr. Miller], he lost control while going 50 to 60 kilometers an hour. He hit an embankment of snow and rolled what [emergency medical services] estimated to be 2 times. The vehicle then ended up on its roof. He was restrained at the time of the accident and there were no airbags that were deployed. The patient denies any loss of consciousness. He remembers the accident from start to finish.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he was hanging upside down in the vehicle by his seatbelt and he released himself from the seatbelt. He was found lying on what would be the roof of the vehicle and was extricated by [emergency medical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Based on my assessment of Dr. Paulgaard-McKnight's testimony, I find that the only statements comprising the above extract that can be reliably attributed to Mr. Miller are these ones:</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lost control while going 50 to 60 kilometres an hour;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restrained by his seatbelt at the time of the accident;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denied any loss of consciousness and said he remembered the accident from start to finish;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hanging upside down in the vehicle by his seat belt and released himself from the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Paulgaard-McKnight does not recall asking Mr. Miller what had happened that caused him to lose control of his vehicle. I accept her evidence that Mr. Miller did not mention to her the involvement of another vehicle. Even so, the evidence does not satisfy me that Mr. Miller was the one who described the incident to Dr. Paulgaard-McKnight as a "single vehicle rollover" as reflected in the hospital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Constable Moir saw Mr. Miller at the hospital on Christmas Day and provided an update on the recovery of his dogs and gave him a copy of the accident report. At that time, Mr. Miller told him that he thought that an Emil Anderson truck had come into contact with his vehicle and had caused him to go off the road. Mr. Miller says he was in excruciating pain and receiving pain medication and was essentially "out of it" before his discharge from the hospital. He claims to remember little of his conversation with Constable Moir beyond speaking to him about his dogs. I find that is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 one else whom Constable Moir had interviewed about the accident had mentioned the involvement of another vehicle. Because Mr. Miller's version was inconsistent with the information the constable had gathered from others at the scene, including, I find, the information from Mr. Voyer, Constable Moir decided not to investigate the incident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various times after the accident, Mr. Miller returned to the scene to take photographs of the area and, for reasons he did not completely understand himself, to mark with spray paint the date of the incident on the rock face near where it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Exhibited at trial was a collection of photographs of Mr. Miller's vehicle taken after the accident. Some were taken at the impound yard where his vehicle had been towed, and others after it was released from those premises and returned to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photographs taken at the impound yard show the badly crumpled hood of Mr. Miller's Pathfinder and extensive damage to substantially all of the front area of the driver's side. They also document a significant indentation on the rear tailgate, damage to the rear bumper and a missing back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Constable Moir did not take photographs at the scene and did not form an impression about where the main point of impact may have occurred when the Pathfinder struck the sheer rock. He was shown certain of the photographs in evidence, including the one that showed an indentation on the Pathfinder's back tailgate. He remembered that the back window of the vehicle had been "punched out" at the scene, but was not able to recall whether the rear indentation as shown in the photograph was present at that time. Because he concluded it had been a single-car accident, Constable Moir had not examined the rear of the Pathfinder to determine how the accident might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Mr. Miller's evidence that the damage to the body of his Pathfinder depicted in the photographs taken while it was impounded was not present before the accident. Even so, the photographs in evidence had little probative value relative to the determination of the central issue, namely whether another vehicle was involved in the accident. The damage to the rear of Mr. Miller's vehicle could have been sustained by contact by another vehicle or as a result of the violent collision with the rock face and vehicle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Miller testified that not long after the accident, he by chance, passed the very truck that had struck him. It was parked on the highway near a turn off close to his home. Although the truck was much cleaner than it had been at the time of the accident, Mr. Miller says that he recognized it in part by the rust spots covering it, and its age. At the time, Mr. Miller had not recuperated from his injuries and was being driven by a friend. He wanted to take a photograph of the truck, but felt too weak to lift the camera by himself. He claims that his friend refused to take him back to the place where he had seen the truck or assist him otherwise. Mr. Miller took no steps thereafter to follow up on his own or enlist the help of anyone else. His evidence on this point strikes me as highly implausible and I do not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Miller's primary submissions are that given the existence of the slippery conditions and the left-turning curve in the highway where his Pathfinder lost control, his vehicle could not have left the roadway and been propelled into the rock face without the external forces of another vehicle. He submits that a vehicle in a left corner with minimal friction that is losing control on ice will move to the right. In other words, says Mr. Miller's counsel, as the Pathfinder was in a left corner, the only thing preventing it from moving to the right was the friction of its tires on the road surface. He theorizes that as the friction is lost due to the ice, the vehicle will move toward the right and cannot move to the left without something causing it to do so i.e. an external force altering its path. Although Mr. Miller's counsel acknowledged that an adjustment of the steering input could have caused the Pathfinder to move to the left, he contends that the evidence points to the right lane being covered in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Miller called no expert evidence to support the foregoing submissions of his counsel. In my view, the findings urged by Mr. Miller in this regard are not a matter of common sense. They fall well outside ordinary knowledge and experience, and are within the realm of the specialized knowledge of an expert. In my opinion, the Court cannot endorse the hypothesis advocated by Mr. Miller in the absence of expert evidence in the field of engineering and/or accident reconstruction. None was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Miller's credibility and reliability are pivotal in determining whether another vehicle was involved in this accident. The assessment is not a purely intellectual exercise, and is more an art than it is a science, and the factors can be challenging to verbalize: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2008 SCC 51</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accept the evidence of Constable Moir and Mr. Voyer to the effect that the left-hand westbound lane was covered in snow along its approach from the east to the place of the accident. The fact that Mr. Miller does not recall that is a small point, but is not irrelevant. It is one of a number of frailties in his evidence that cumulatively served to diminish its reliability. Far more damaging to Mr. Miller's reliability are the contradictions in his testimony about the lane he was travelling in after he passed what he believed was a sanding truck, and the distance between his Pathfinder and the sanding truck at the time he encountered the black ice, decelerated and felt a "bump". I have already detailed those. They are not minor matters. Rather, they are discrepancies of significance on central issues and call into question the degree of confidence the Court can safely place on Mr. Miller's testimony as it concerns the pivotal events leading up to his loss of control of his vehicle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cross-examination, Mr. Miller was asked whether he has always recalled how the accident happened or whether he had pieced it together afterwards. He replied that the basics of what happened have always been clear in his mind, but "guessed" that more details "came back later". He was not asked to and did not elaborate on what he considered to be the basics of the accident in comparison to its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Based on this evidence and in light of the internal inconsistencies in his own testimony on key points, I have concluded that Mr. Miller's recounting of the material circumstances in play just before the accident are faulty and are probably based in part on his actual memory and in part on his subsequent reconstruction of what happened, in a way that makes sense to him, but does not necessarily accord with reality. In my opinion, Mr. Miller's memory and perception of the key events preceding his loss of control on the highway are simply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Moreover and in any event, I accept Mr. Voyer's version of the circumstances surrounding Mr. Miller's loss of control of his Pathfinder and the manner in which it left the highway. Mr. Voyer was an independent witness to the incident. He gave his evidence in a straightforward manner without a tendency to embellish or exaggerate, and I consider him to be a thoroughly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That said, his evidence did suffer from some shortcomings. For example, he was not able to pinpoint the exact spot along the highway the accident had occurred, other than to say it was where the highway curved to the left, nor could he say the precise time of day it had taken place. Recalling that stopping after the accident had caused him to be very late to arrive at his planned destination, he believed the accident may have taken place in the early evening. He was clearly mistaken about that. Nothing, however, turns on his lack of recall on those points. Nor am I confident in the accuracy of his testimony about where the Pathfinder was in relation to his vehicle when it smashed into the rock face and turned upside down. The positioning of the two vehicles in relation to one another as recalled by Mr. Voyer seems unlikely. The probabilities of the situation make it far more likely that, by the time Mr. Miller's vehicle had slid off the road and crashed at Mr. Voyer's left, Mr. Voyer had driven past the point of impact, and had observed the collision by looking behind him on his left or through the driver's side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Again, those deficiencies in Mr. Voyer's evidence do not detract from his testimony on the key issues. Nor do any of the noted shortcomings have the effect of tainting his credibility as a witness at large or weakening the reliability of his evidence on the central matters that persuasively support the finding there was simply no other vehicle involved in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Contrary to the submissions made by Mr. Miller's counsel, Mr. Voyer was unshaken on cross-examination on the material issues, and I prefer his evidence over Mr. Miller's on every point of divergence.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It is not necessary for me to decide what it was that might have caused Mr. Miller to slide across the highway and collide with the rock face. I have concluded that what it was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was contact with another vehicle. That said, the probabilities of the whole of the evidence support the inference that the black ice on that curved stretch of highway was the likely culprit.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During his testimony, Mr. Miller repeatedly made mention of the injuries and the pain he has suffered as a result of the accident. While I cannot help but have sympathy for his plight, the onus is on him to prove his case on a balance of probabilities and he has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Accordingly, Mr. Miller's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among counsel and the Court regarding the filing of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Morris v. Morris, [2009] B.C.J. No. 2280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F.W. 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26 and 27,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76937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2009 BCSC 1567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313 D.L.R. (4th) 124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[2010] I.L.R. I-4927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2009 CarswellBC 3087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182 A.C.W.S. (3d) 1054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Buford Morris, Plaintiff, and Ryan Morris, Ruth Kauth, Enterprise Rent-A-Car Ltd., Insurance Corporation of British Columbia, Manitoba Public Insurance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4" w:name="Keywords_19"/>
      <w:bookmarkEnd w:id="12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owner — Consent to possession — Action for damages suffered in motor vehicle accident dismissed against Enterprise-Rent-A-Car — Plaintiff injured in single vehicle accident — Defendant Ryan, plaintiff's brother, drove vehicle — Vehicle rented by defendant Knauth, the mother of plaintiff and Ryan — Rental company not vicariously liable — Rental agreement prohibited other drivers from driving vehicle — Rental company did not give implied consent.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Liability — Civil actions — Owner — Action for damages suffered in motor vehicle accident dismissed against Enterprise-Rent-A-Car — Plaintiff injured in single vehicle accident — Defendant Ryan, plaintiff's brother, drove vehicle — Vehicle rented by defendant Knauth, the mother of plaintiff and Ryan — Rental company not vicariously liable — Rental agreement prohibited other drivers from driving vehicle — Rental company did not give implied consent.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5" w:name="Case Summary_17"/>
            <w:bookmarkEnd w:id="1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in motor vehicle accident. The plaintiff was a passenger in a vehicle driven by his brother, the defendant Ryan. The vehicle was rented by the defendant Knauth, the mother of the plaintiff and Ryan, from the defendant Enterprise Rent-A-Car. When she rented the vehicle, Knauth indicated that no other drivers would use it. The rental agreement signed by Knauth indicated that no other drivers were permitted to drive the vehicle. Knauth alleged she did not read the agreement and that no one inquired whether her sons wished to drive the vehicle. Knauth admitted permitting Ryan to drive the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6" w:name="Holdings of Court_13"/>
            <w:bookmarkEnd w:id="126"/>
            <w:r>
              <w:rPr>
                <w:rFonts w:ascii="arial" w:eastAsia="arial" w:hAnsi="arial" w:cs="arial"/>
                <w:color w:val="000000"/>
                <w:sz w:val="20"/>
                <w:lang w:val="en-US" w:eastAsia="en-US" w:bidi="ar-SA"/>
              </w:rPr>
              <w:t>HELD: Action dismissed against Enterprise Rent-A-Car.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did not accept Knauth's evidence that she did not read the large print in the agreement that no other drivers were permitted and that the agreement was not reviewed with her before she signed it. Knauth was well aware that no other driver was permitted to operate this motor vehicle. Enterprise did not consent for the purposes of s. 86 of the Motor Vehicle Act to Ryan's operation of the vehicle at the time of the accident. Enterprise did not give express or implied consent to Ryan driving. The test for implied consent in British Columbia was whether the owner would have consented in the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Legislation Cited_7"/>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9"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84"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color w:val="000000"/>
          <w:sz w:val="20"/>
          <w:lang w:val="en-US" w:eastAsia="en-US" w:bidi="ar-SA"/>
        </w:rPr>
        <w:t>, s. 86(1), s. 86(1.1)(b)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9"/>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Wendell.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Morris and Manitoba Public Insurance Corporation: D.R. Lewthwaite.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Enterprise Rent-A-Car: S. Katalinic.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9"/>
      <w:bookmarkEnd w:id="129"/>
      <w:r>
        <w:pict>
          <v:line id="_x0000_s1121"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F.W. COLE J."/>
            <w:bookmarkEnd w:id="130"/>
            <w:r>
              <w:rPr>
                <w:rFonts w:ascii="arial" w:eastAsia="arial" w:hAnsi="arial" w:cs="arial"/>
                <w:b/>
                <w:color w:val="000000"/>
                <w:sz w:val="30"/>
                <w:lang w:val="en-US" w:eastAsia="en-US" w:bidi="ar-SA"/>
              </w:rPr>
              <w:t>F.W. 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Buford Morris, claims damages arising out of a single vehicle accident that occurred on November 16, 2005, when the defendant, his brother, Ryan Morris, was operating a vehicle owned by the defendant, Enterprise Rent-A-Car Ltd. ("Enterprise"), in which the plaintiff was a passenger. The defendant Ruth Kauth, is the mother of the plaintiff and the defendant Ryan Morris, and rented the motor vehicle in question from the defendant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issue is whether or not Enterprise can be found vicariously liable on the basis that the defendant, Ryan Morris, acquired possession of the motor vehicle with the consent, either express or implied, of Enterprise, pursuant to s. 86(1)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November 14, 2005, Ms. Kauth attended at the Enterprise office to rent a vehicle as her two sons were arriving in Kelowna the following day to visit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Karen Knutson ("Knutson"), a customer service representative of Enterprise specifically recalls Ms. Kauth attending at their office on the evening of November 14, 2005, because Ms. Kauth did not have a credit card in her own name. Since Enterprise's policy was that a customer had to have a credit card and two pieces of identification, she consulted her manager who was beside her at the time. He indicated that they could rent a vehicle to her but they needed $400 cash plus references.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next day Ms. Kauth returned to Enterprise's office and Ms. Knutson attended upon her. Ms. Kauth had a document filled out with her references. She produced two pieces of identification and Ms. Knutson typed in the information, as well as information obtained from Ms. Kauth with respect to her address. Ms. Knutson asked if there would be any additional drivers and was told by Ms. Kauth that there would be no other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Kauth said the vehicle was only going to be used in British Columbia and that was inserted in the form. After the form was completed, Ms. Knutson said that to ensure that all of the information was correct, she attached the form to a clipboard and went around the counter and stood beside Ms. Kauth and went over all the information. She confirmed there were to be no other drivers. Ms. Kauth mentioned that her sons were coming into town and that was why she was renting a car. She was asked "[a]re you sure you don't want an additional driver?", and she indicated no. She then signed the box in the upper middle of the form which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 AUTHORIZED DRIVER(S) - EXCEPT AS REQUIRED BY LAW, NONE PERMITTED WITHOUT OWNER'S WRITTEN 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REQUEST OWNER'S PERMISSION TO ALLOW NO OTHER DRIVER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also a place for the renter to sign. Ms. Kauth signed her full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Knutson said she has specific recollection of the conversation. She also said that it takes about 20 minutes to get all the information, type out the form, go over the contract with a customer, and have it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Ruth Kauth's evidence was that she phoned the defendant Enterprise on November 13, and was told that she could rent a car using a friend's credit card. When she attended the office on the 14th they would not rent her a car without references. She went back on the 15th of November at approximately 4:00 p.m. She said she dealt with Ms. Knutson. She acknowledged that it was her signature on the application form. She said that from the time that she gave Ms. Knutson the information until Ms. Knutson completed the form and took her out to show her the vehicle, it took a total of 10 minutes. She said that there was no discussion and more specifically, no insurance was discussed. She said no one inquired if her sons wanted to drive the vehicle. She said that Ms. Knutson just told her to sign. She said she did not see the words "[n]o other driver permitted". She said she felt rushed. She signed without reading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Kauth said that she drove to the airport, picked up her two sons, they went out for dinner, had some drinks and returned home. She said that she went to bed early but her son Ryan woke her up. She does not know what time it was, perhaps around 3:00 in the morning, he asked if he could take the car and she agreed he could. She said in cross-examination that she felt that if you own the car, you could lend it to anyone. When it was put to her that she did not own the car, she said that she had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Ryan Morris confirmed that he asked his mother for her consent to drive the motor vehicle. He described how he was speeding and lost control of the vehicle and the plaintiff suffered injuries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do not accept the evidence of Ms. Kauth that she never read the large print "[n]o other driver permitted", that the application form was not reviewed prior to her signing and initialling the application form and that it only took approximately 10 minutes from start to finish, including inspecting the car prior to being given the keys. It simply is not credible. She gave her evidence in a rather off-handed manner, as if she did not really care what was going on in the trial. I accept the evidence of Ms. Knutson. She was a credible witness who had specific recollection of the events surrounding the execution of the rental form. I am satisfied that Ms. Kauth was well aware that no other driver was permitted to operate this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relevant statutory provision in issue is s. 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Responsibility of owner or lessee in certain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86(1.1) In the case of a motor vehicle that is in the possession of its lessee, in an action to recover for loss or damage to persons or property arising out of the use or operation of the motor vehicle on a highway, a person driving or operating the motor vehicle who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acquired possession of the motor vehicle with the consent, express or implied, of the lessee,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be the agent or servant of, and employed as such by, that lessee and to be driving or operating the motor vehicle in the course of his or her employment with that lessee.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establishes that once an owner is deemed or found to have consented to the possession, use or operation of the automobile in question, the owner is considered in law to be liable for any damage or loss caused by the operation of that vehicle, by the individual to whom consent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At issue then, is whether Enterprise consented for the purposes of s. 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Mr. Morris' operation of the vehicle at the time of the accident. The burden of proving consent is on the person alleging consent existed: </w:t>
      </w:r>
      <w:r>
        <w:rPr>
          <w:rFonts w:ascii="arial" w:eastAsia="arial" w:hAnsi="arial" w:cs="arial"/>
          <w:i/>
          <w:color w:val="000000"/>
          <w:sz w:val="20"/>
          <w:lang w:val="en-US" w:eastAsia="en-US" w:bidi="ar-SA"/>
        </w:rPr>
        <w:t>Jaroszuk v. Quewezance</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(1992), 66 B.C.L.R. (2d) 171</w:t>
        </w:r>
      </w:hyperlink>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12 B.C.A.C. 219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Jaroszuk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word "consent" may have different meanings in different statutes. "[The question] is not the issue of consent,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 but rather the issue of consent under s. 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Barreiro v. Arana</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2003 BCCA 58</w:t>
        </w:r>
      </w:hyperlink>
      <w:r>
        <w:rPr>
          <w:rFonts w:ascii="arial" w:eastAsia="arial" w:hAnsi="arial" w:cs="arial"/>
          <w:color w:val="000000"/>
          <w:sz w:val="20"/>
          <w:lang w:val="en-US" w:eastAsia="en-US" w:bidi="ar-SA"/>
        </w:rPr>
        <w:t xml:space="preserve"> at para. 6, </w:t>
      </w:r>
      <w:hyperlink r:id="rId386" w:history="1">
        <w:r>
          <w:rPr>
            <w:rFonts w:ascii="arial" w:eastAsia="arial" w:hAnsi="arial" w:cs="arial"/>
            <w:i/>
            <w:color w:val="0077CC"/>
            <w:sz w:val="20"/>
            <w:u w:val="single"/>
            <w:shd w:val="clear" w:color="auto" w:fill="FFFFFF"/>
            <w:lang w:val="en-US" w:eastAsia="en-US" w:bidi="ar-SA"/>
          </w:rPr>
          <w:t>10 B.C.L.R. (4th) 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British Columbia Court of Appeal has said that the consequence of invoking the vicarious liability provision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impose liability without fault and therefore, "the words which have been used by the legislature should not ... be given any broader effect than that required by their ordinary meaning": </w:t>
      </w:r>
      <w:r>
        <w:rPr>
          <w:rFonts w:ascii="arial" w:eastAsia="arial" w:hAnsi="arial" w:cs="arial"/>
          <w:i/>
          <w:color w:val="000000"/>
          <w:sz w:val="20"/>
          <w:lang w:val="en-US" w:eastAsia="en-US" w:bidi="ar-SA"/>
        </w:rPr>
        <w:t>Jaroszuk</w:t>
      </w:r>
      <w:r>
        <w:rPr>
          <w:rFonts w:ascii="arial" w:eastAsia="arial" w:hAnsi="arial" w:cs="arial"/>
          <w:color w:val="000000"/>
          <w:sz w:val="20"/>
          <w:lang w:val="en-US" w:eastAsia="en-US" w:bidi="ar-SA"/>
        </w:rPr>
        <w:t>,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Purpose and Intent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effect that legislative intent has upon the meaning of "consent" was emphasized in </w:t>
      </w:r>
      <w:r>
        <w:rPr>
          <w:rFonts w:ascii="arial" w:eastAsia="arial" w:hAnsi="arial" w:cs="arial"/>
          <w:i/>
          <w:color w:val="000000"/>
          <w:sz w:val="20"/>
          <w:lang w:val="en-US" w:eastAsia="en-US" w:bidi="ar-SA"/>
        </w:rPr>
        <w:t>Morrison (Committee of) v. Cormier Vegetation Control Ltd.</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(1996), 28 B.C.L.R. (3d) 280</w:t>
        </w:r>
      </w:hyperlink>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85 B.C.A.C. 8</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and has been cited repeatedly in the case law since: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It is apparent the legislature has imposed a heavy burden on those who have within their power the control of motor vehicles. ... The reason for legislative intervention may be traced, in part at least, to the appalling consequences of reckless use of motor vehicles. Irresponsibility on the part of those who may deny or confer possession of motor vehicles may be seen as the reason for the legislative initiative. The legislation in question must be regarded as remedial.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motor vehicle insurance scheme, legislative intent is fundamental because it is inspired by a need to protect innocent third parties seeking compensation for injuries suffered due to negligent drivers and vicariously, the vehicle owners. Because the legislation is remedial it may be at odds with traditional legal concepts of agency and vicarious liability, but that will not deny its 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clear that in light of the purpose of this legislation, s. 86 imposes a heavy duty on owners to control who will be driving their vehicles, and Enterprise attempted to take steps to maintain that control when it transferred the car, by giving Ms. Kauth a chance to add her sons to the agreement. Enterprise argues that they should be entitled to take steps to control to whom they provide consent and by taking those steps, contracting to prohibit additional drivers, consent cannot be extended to anyone else, because it would be contrary to the clear terms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American authorities have rejected this argument. The courts there have developed the notion of constructive consent. Rental car companies are held responsible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unauthorized drivers, because they know or ought to know the probability of their vehicles coming into the hands of unauthorized persons. Because it can be foreseen that a rental vehicle may end up being driven by someone else, rental companies should not be allowed to evade responsibility. Instead, it should be recognized as the reality of the car rental trade. The business of leasing cars for a profit includes the risk of liability for injury caused by unauthorized as well as authorized drivers: </w:t>
      </w:r>
      <w:r>
        <w:rPr>
          <w:rFonts w:ascii="arial" w:eastAsia="arial" w:hAnsi="arial" w:cs="arial"/>
          <w:i/>
          <w:color w:val="000000"/>
          <w:sz w:val="20"/>
          <w:lang w:val="en-US" w:eastAsia="en-US" w:bidi="ar-SA"/>
        </w:rPr>
        <w:t>Buntin v. Continental Insurance Company,</w:t>
      </w:r>
      <w:r>
        <w:rPr>
          <w:rFonts w:ascii="arial" w:eastAsia="arial" w:hAnsi="arial" w:cs="arial"/>
          <w:color w:val="000000"/>
          <w:sz w:val="20"/>
          <w:lang w:val="en-US" w:eastAsia="en-US" w:bidi="ar-SA"/>
        </w:rPr>
        <w:t xml:space="preserve"> 1978 583F. 2nd 1201; </w:t>
      </w:r>
      <w:r>
        <w:rPr>
          <w:rFonts w:ascii="arial" w:eastAsia="arial" w:hAnsi="arial" w:cs="arial"/>
          <w:i/>
          <w:color w:val="000000"/>
          <w:sz w:val="20"/>
          <w:lang w:val="en-US" w:eastAsia="en-US" w:bidi="ar-SA"/>
        </w:rPr>
        <w:t>Motor Vehicle Accident Indemnification Corporation v. Continental National American Group Company</w:t>
      </w:r>
      <w:r>
        <w:rPr>
          <w:rFonts w:ascii="arial" w:eastAsia="arial" w:hAnsi="arial" w:cs="arial"/>
          <w:color w:val="000000"/>
          <w:sz w:val="20"/>
          <w:lang w:val="en-US" w:eastAsia="en-US" w:bidi="ar-SA"/>
        </w:rPr>
        <w:t xml:space="preserve">, 1974 319 N.E. 2nd 182; and </w:t>
      </w:r>
      <w:r>
        <w:rPr>
          <w:rFonts w:ascii="arial" w:eastAsia="arial" w:hAnsi="arial" w:cs="arial"/>
          <w:i/>
          <w:color w:val="000000"/>
          <w:sz w:val="20"/>
          <w:lang w:val="en-US" w:eastAsia="en-US" w:bidi="ar-SA"/>
        </w:rPr>
        <w:t>Allstate Insurance v. Royal Globe Insurance,</w:t>
      </w:r>
      <w:r>
        <w:rPr>
          <w:rFonts w:ascii="arial" w:eastAsia="arial" w:hAnsi="arial" w:cs="arial"/>
          <w:color w:val="000000"/>
          <w:sz w:val="20"/>
          <w:lang w:val="en-US" w:eastAsia="en-US" w:bidi="ar-SA"/>
        </w:rPr>
        <w:t xml:space="preserve"> 1984 481 A. 2nd 298.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logic and policy reasoning in the American authorities has been expressed by the Alberta courts. In </w:t>
      </w:r>
      <w:r>
        <w:rPr>
          <w:rFonts w:ascii="arial" w:eastAsia="arial" w:hAnsi="arial" w:cs="arial"/>
          <w:i/>
          <w:color w:val="000000"/>
          <w:sz w:val="20"/>
          <w:lang w:val="en-US" w:eastAsia="en-US" w:bidi="ar-SA"/>
        </w:rPr>
        <w:t>Mugford v. Webber</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2004 ABCA 145</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242 D.L.R. (4th) 166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Mugford</w:t>
      </w:r>
      <w:r>
        <w:rPr>
          <w:rFonts w:ascii="arial" w:eastAsia="arial" w:hAnsi="arial" w:cs="arial"/>
          <w:color w:val="000000"/>
          <w:sz w:val="20"/>
          <w:lang w:val="en-US" w:eastAsia="en-US" w:bidi="ar-SA"/>
        </w:rPr>
        <w:t xml:space="preserve">], quoting the New Brunswick Court of Appeal, at para. 46, the Court held: "[p]rivate or secret arrangements must not prevail in favour of tortfeasors or the vehicle owners against innocent parties when the trust by the person giving possession turns out to have been misplaced." Furthermore, in </w:t>
      </w:r>
      <w:r>
        <w:rPr>
          <w:rFonts w:ascii="arial" w:eastAsia="arial" w:hAnsi="arial" w:cs="arial"/>
          <w:i/>
          <w:color w:val="000000"/>
          <w:sz w:val="20"/>
          <w:lang w:val="en-US" w:eastAsia="en-US" w:bidi="ar-SA"/>
        </w:rPr>
        <w:t>Ireland v. Perez</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2007 ABCA 12</w:t>
        </w:r>
      </w:hyperlink>
      <w:r>
        <w:rPr>
          <w:rFonts w:ascii="arial" w:eastAsia="arial" w:hAnsi="arial" w:cs="arial"/>
          <w:color w:val="000000"/>
          <w:sz w:val="20"/>
          <w:lang w:val="en-US" w:eastAsia="en-US" w:bidi="ar-SA"/>
        </w:rPr>
        <w:t xml:space="preserve"> at para. 25, </w:t>
      </w:r>
      <w:hyperlink r:id="rId389" w:history="1">
        <w:r>
          <w:rPr>
            <w:rFonts w:ascii="arial" w:eastAsia="arial" w:hAnsi="arial" w:cs="arial"/>
            <w:i/>
            <w:color w:val="0077CC"/>
            <w:sz w:val="20"/>
            <w:u w:val="single"/>
            <w:shd w:val="clear" w:color="auto" w:fill="FFFFFF"/>
            <w:lang w:val="en-US" w:eastAsia="en-US" w:bidi="ar-SA"/>
          </w:rPr>
          <w:t>280 D.L.R. (4th) 118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Ireland</w:t>
      </w:r>
      <w:r>
        <w:rPr>
          <w:rFonts w:ascii="arial" w:eastAsia="arial" w:hAnsi="arial" w:cs="arial"/>
          <w:color w:val="000000"/>
          <w:sz w:val="20"/>
          <w:lang w:val="en-US" w:eastAsia="en-US" w:bidi="ar-SA"/>
        </w:rPr>
        <w:t>], the Court held that: "[t]o imply consent to foreseeable circumstances does not result in unfairness to the owner, given the owner's ultimate choice to avoid such liability by not lending the vehicle to the borrower" and, at para. 28: "... if the owner provides express consent to an original borrower knowing that the vehicle might be driven by a third party at the will of the original borrower, the owner may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logic and policy reasoning, however, has yet to be adopted in BC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Considering s. 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law of express consent was established in </w:t>
      </w:r>
      <w:r>
        <w:rPr>
          <w:rFonts w:ascii="arial" w:eastAsia="arial" w:hAnsi="arial" w:cs="arial"/>
          <w:i/>
          <w:color w:val="000000"/>
          <w:sz w:val="20"/>
          <w:lang w:val="en-US" w:eastAsia="en-US" w:bidi="ar-SA"/>
        </w:rPr>
        <w:t>Vancouver Motors U-Drive Ltd. v. Walker</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[1942] S.C.R. 391</w:t>
        </w:r>
      </w:hyperlink>
      <w:r>
        <w:rPr>
          <w:rFonts w:ascii="arial" w:eastAsia="arial" w:hAnsi="arial" w:cs="arial"/>
          <w:color w:val="000000"/>
          <w:sz w:val="20"/>
          <w:lang w:val="en-US" w:eastAsia="en-US" w:bidi="ar-SA"/>
        </w:rPr>
        <w:t xml:space="preserve"> at 394, </w:t>
      </w:r>
      <w:hyperlink r:id="rId390" w:history="1">
        <w:r>
          <w:rPr>
            <w:rFonts w:ascii="arial" w:eastAsia="arial" w:hAnsi="arial" w:cs="arial"/>
            <w:i/>
            <w:color w:val="0077CC"/>
            <w:sz w:val="20"/>
            <w:u w:val="single"/>
            <w:shd w:val="clear" w:color="auto" w:fill="FFFFFF"/>
            <w:lang w:val="en-US" w:eastAsia="en-US" w:bidi="ar-SA"/>
          </w:rPr>
          <w:t>[1942] 4 D.L.R. 399</w:t>
        </w:r>
      </w:hyperlink>
      <w:r>
        <w:rPr>
          <w:rFonts w:ascii="arial" w:eastAsia="arial" w:hAnsi="arial" w:cs="arial"/>
          <w:color w:val="000000"/>
          <w:sz w:val="20"/>
          <w:lang w:val="en-US" w:eastAsia="en-US" w:bidi="ar-SA"/>
        </w:rPr>
        <w:t xml:space="preserve">, where the Court stated: "an express consent is given, within the meaning of the enactment, when possession was acquired as a result of the free exercise of the owner's will." This concept of consent has been adopted in the case law since: </w:t>
      </w:r>
      <w:r>
        <w:rPr>
          <w:rFonts w:ascii="arial" w:eastAsia="arial" w:hAnsi="arial" w:cs="arial"/>
          <w:i/>
          <w:color w:val="000000"/>
          <w:sz w:val="20"/>
          <w:lang w:val="en-US" w:eastAsia="en-US" w:bidi="ar-SA"/>
        </w:rPr>
        <w:t>Houseman v. Bagley</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2008 ABCA 133</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291 D.L.R. (4th) 673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Snow (Committee of) v. Friesen</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2009 BCSC 1188</w:t>
        </w:r>
      </w:hyperlink>
      <w:r>
        <w:rPr>
          <w:rFonts w:ascii="arial" w:eastAsia="arial" w:hAnsi="arial" w:cs="arial"/>
          <w:color w:val="000000"/>
          <w:sz w:val="20"/>
          <w:lang w:val="en-US" w:eastAsia="en-US" w:bidi="ar-SA"/>
        </w:rPr>
        <w:t>. All of these cases, however, deal with whether consent was given directly from the owner or someone with authority to give consent, to the driver, in other words the negligent driver had direct contact with the owner, not cases involving an authorized driver with consent giving consent to an unauthorized driver. The present case is therefore not one involving an express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absence of express consent, the interpretation of implied consent to third party drivers has also been canvassed in British Columbia case law. In </w:t>
      </w:r>
      <w:r>
        <w:rPr>
          <w:rFonts w:ascii="arial" w:eastAsia="arial" w:hAnsi="arial" w:cs="arial"/>
          <w:i/>
          <w:color w:val="000000"/>
          <w:sz w:val="20"/>
          <w:lang w:val="en-US" w:eastAsia="en-US" w:bidi="ar-SA"/>
        </w:rPr>
        <w:t>Godsman v. Peck</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(1997), 29 B.C.L.R. (3d) 37</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87 B.C.A.C.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the Court adopted the test approved by the Supreme Court of Canada in </w:t>
      </w:r>
      <w:r>
        <w:rPr>
          <w:rFonts w:ascii="arial" w:eastAsia="arial" w:hAnsi="arial" w:cs="arial"/>
          <w:i/>
          <w:color w:val="000000"/>
          <w:sz w:val="20"/>
          <w:lang w:val="en-US" w:eastAsia="en-US" w:bidi="ar-SA"/>
        </w:rPr>
        <w:t>Palsky v. Humphrey</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[1964] S.C.R. 580</w:t>
        </w:r>
      </w:hyperlink>
      <w:r>
        <w:rPr>
          <w:rFonts w:ascii="arial" w:eastAsia="arial" w:hAnsi="arial" w:cs="arial"/>
          <w:color w:val="000000"/>
          <w:sz w:val="20"/>
          <w:lang w:val="en-US" w:eastAsia="en-US" w:bidi="ar-SA"/>
        </w:rPr>
        <w:t xml:space="preserve"> at 588, </w:t>
      </w:r>
      <w:hyperlink r:id="rId394" w:history="1">
        <w:r>
          <w:rPr>
            <w:rFonts w:ascii="arial" w:eastAsia="arial" w:hAnsi="arial" w:cs="arial"/>
            <w:i/>
            <w:color w:val="0077CC"/>
            <w:sz w:val="20"/>
            <w:u w:val="single"/>
            <w:shd w:val="clear" w:color="auto" w:fill="FFFFFF"/>
            <w:lang w:val="en-US" w:eastAsia="en-US" w:bidi="ar-SA"/>
          </w:rPr>
          <w:t>45 D.L.R. (2d) 655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Palsky</w:t>
      </w:r>
      <w:r>
        <w:rPr>
          <w:rFonts w:ascii="arial" w:eastAsia="arial" w:hAnsi="arial" w:cs="arial"/>
          <w:color w:val="000000"/>
          <w:sz w:val="20"/>
          <w:lang w:val="en-US" w:eastAsia="en-US" w:bidi="ar-SA"/>
        </w:rPr>
        <w:t>]: "... consent can be implied because it is clear that had it been sought it would have been granted as a matter of course." The Court also stated, at paras. 27-28: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 concluding whether or not the test is met in the circumstances of a case of that sort (where the vehicle was driven by a third party), an important and relevant consideration is whether or not the evidence supports the conclusion that, at the time the motor vehicle was loaned to the original driver, the owner granted possession of it under circumstances that clearly show that it was acquired with both the willingness and the expectation on the owner's part that it would be driven by a third person.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There should be evidence to show, or support the inference, that the owner turned his mind to the likelihood of that further transfer of possession. If there is no such evidence, a court finding liability on the owner's part is not implying consent so much as deeming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Enterprise argues they turned their mind to the possibility of further transfers of possession and expressly forbade it. However, if the Court adopts the American logic, it would not be unfair for the Court to imply consent to foreseeable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Smaldino v. Calla</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[1999] B.C.J. No. 2816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Smaldino</w:t>
      </w:r>
      <w:r>
        <w:rPr>
          <w:rFonts w:ascii="arial" w:eastAsia="arial" w:hAnsi="arial" w:cs="arial"/>
          <w:color w:val="000000"/>
          <w:sz w:val="20"/>
          <w:lang w:val="en-US" w:eastAsia="en-US" w:bidi="ar-SA"/>
        </w:rPr>
        <w:t xml:space="preserve">], the Court considered the question of implied consent, where the owners gave their son the keys to their car on the condition that he would not allow his friends to drive it. The son then allowed a friend to drive the car and an accident ensued. The Court quoted from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and adopted the test from </w:t>
      </w:r>
      <w:r>
        <w:rPr>
          <w:rFonts w:ascii="arial" w:eastAsia="arial" w:hAnsi="arial" w:cs="arial"/>
          <w:i/>
          <w:color w:val="000000"/>
          <w:sz w:val="20"/>
          <w:lang w:val="en-US" w:eastAsia="en-US" w:bidi="ar-SA"/>
        </w:rPr>
        <w:t>Palsky,</w:t>
      </w:r>
      <w:r>
        <w:rPr>
          <w:rFonts w:ascii="arial" w:eastAsia="arial" w:hAnsi="arial" w:cs="arial"/>
          <w:color w:val="000000"/>
          <w:sz w:val="20"/>
          <w:lang w:val="en-US" w:eastAsia="en-US" w:bidi="ar-SA"/>
        </w:rPr>
        <w:t xml:space="preserve"> that consent can be implied when it is clear that, had it been sought, it would have been granted in the circumstances. In finding the owners had not consented, the Court concluded that there was no evidence to support a conclusion that the parents would have granted consent to the friend driving as a matter of course or that they expected or were willing that the friend would drive their car in these circumstances and therefore the friend could not show that he had consent, express or implied, to drive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Prasad v. Bell,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2001 BCSC 685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Prasad</w:t>
      </w:r>
      <w:r>
        <w:rPr>
          <w:rFonts w:ascii="arial" w:eastAsia="arial" w:hAnsi="arial" w:cs="arial"/>
          <w:color w:val="000000"/>
          <w:sz w:val="20"/>
          <w:lang w:val="en-US" w:eastAsia="en-US" w:bidi="ar-SA"/>
        </w:rPr>
        <w:t>], a case involving the same situation as the present case but where it was the unauthorized driver who sued the rental company, the Court held that the plaintiff did not meet the burden of proving that he had Budget's implied consent to drive the vehicle as it would not have been granted as a matter of course, had it been sought, so the claim against Budget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issue of consent was again considered in </w:t>
      </w:r>
      <w:r>
        <w:rPr>
          <w:rFonts w:ascii="arial" w:eastAsia="arial" w:hAnsi="arial" w:cs="arial"/>
          <w:i/>
          <w:color w:val="000000"/>
          <w:sz w:val="20"/>
          <w:lang w:val="en-US" w:eastAsia="en-US" w:bidi="ar-SA"/>
        </w:rPr>
        <w:t>Gottenbos v. Oberholtzer et al.</w:t>
      </w:r>
      <w:r>
        <w:rPr>
          <w:rFonts w:ascii="arial" w:eastAsia="arial" w:hAnsi="arial" w:cs="arial"/>
          <w:color w:val="000000"/>
          <w:sz w:val="20"/>
          <w:lang w:val="en-US" w:eastAsia="en-US" w:bidi="ar-SA"/>
        </w:rPr>
        <w:t xml:space="preserve"> (23 August 2002), Vancouver B97536 (B.C.S.C.) [</w:t>
      </w:r>
      <w:r>
        <w:rPr>
          <w:rFonts w:ascii="arial" w:eastAsia="arial" w:hAnsi="arial" w:cs="arial"/>
          <w:i/>
          <w:color w:val="000000"/>
          <w:sz w:val="20"/>
          <w:lang w:val="en-US" w:eastAsia="en-US" w:bidi="ar-SA"/>
        </w:rPr>
        <w:t>Gottenbos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Gottenbos</w:t>
      </w:r>
      <w:r>
        <w:rPr>
          <w:rFonts w:ascii="arial" w:eastAsia="arial" w:hAnsi="arial" w:cs="arial"/>
          <w:color w:val="000000"/>
          <w:sz w:val="20"/>
          <w:lang w:val="en-US" w:eastAsia="en-US" w:bidi="ar-SA"/>
        </w:rPr>
        <w:t xml:space="preserve"> proceeded by way of a Rule 18A trial, but on the same facts as the present case and even with the same Enterprise rental agreement. The Court held that the burden rested on the plaintiff or the personal defendants to produce evidence that the plain and obvious limitation on use, set out in the standard form, had not been brought to their attention. Because this was not shown, the Court concluded that Enterprise neither expressly nor by implication consented to anyone else driving and therefore the owner was not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Louis (Guardian ad litem of) v. Lawrence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2002 BCSC 1069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Louis</w:t>
      </w:r>
      <w:r>
        <w:rPr>
          <w:rFonts w:ascii="arial" w:eastAsia="arial" w:hAnsi="arial" w:cs="arial"/>
          <w:color w:val="000000"/>
          <w:sz w:val="20"/>
          <w:lang w:val="en-US" w:eastAsia="en-US" w:bidi="ar-SA"/>
        </w:rPr>
        <w:t xml:space="preserve">], a daughter lent her car to her father, absent any restrictions on additional drivers, and he lent it to her cousin. The Court again applied the test from </w:t>
      </w:r>
      <w:r>
        <w:rPr>
          <w:rFonts w:ascii="arial" w:eastAsia="arial" w:hAnsi="arial" w:cs="arial"/>
          <w:i/>
          <w:color w:val="000000"/>
          <w:sz w:val="20"/>
          <w:lang w:val="en-US" w:eastAsia="en-US" w:bidi="ar-SA"/>
        </w:rPr>
        <w:t>Palsky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and found that she would not have consented to others driving her vehicle, and in light of her knowledge that her cousin did not have a drivers licence, she would not have consented to him driving in the circumstances. The Court concluded there was no consent and the owner was therefore not liable. The same test was applied in </w:t>
      </w:r>
      <w:r>
        <w:rPr>
          <w:rFonts w:ascii="arial" w:eastAsia="arial" w:hAnsi="arial" w:cs="arial"/>
          <w:i/>
          <w:color w:val="000000"/>
          <w:sz w:val="20"/>
          <w:lang w:val="en-US" w:eastAsia="en-US" w:bidi="ar-SA"/>
        </w:rPr>
        <w:t>ICBC v. Chaytor</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2005 BCSC 1543</w:t>
        </w:r>
      </w:hyperlink>
      <w:r>
        <w:rPr>
          <w:rFonts w:ascii="arial" w:eastAsia="arial" w:hAnsi="arial" w:cs="arial"/>
          <w:color w:val="000000"/>
          <w:sz w:val="20"/>
          <w:lang w:val="en-US" w:eastAsia="en-US" w:bidi="ar-SA"/>
        </w:rPr>
        <w:t xml:space="preserve">, and therefore appears to be the relevant test in British Columbia for the interpretation of implied consent under s. 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most recent case from British Columbia dealing with the interpretation of implied consent under s. 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plaintiff argues I am bound by that decision, is </w:t>
      </w:r>
      <w:r>
        <w:rPr>
          <w:rFonts w:ascii="arial" w:eastAsia="arial" w:hAnsi="arial" w:cs="arial"/>
          <w:i/>
          <w:color w:val="000000"/>
          <w:sz w:val="20"/>
          <w:lang w:val="en-US" w:eastAsia="en-US" w:bidi="ar-SA"/>
        </w:rPr>
        <w:t>McEvoy v. McEachnie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2008 BCSC 1496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In that case, a father gave his daughter consent to drive his vehicle but made it expressly clear that no other drivers were permitted. The daughter subsequently allowed her friend to drive the vehicle, because she was intoxicated, and an accident ensued. In finding the father liable, the Court applied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a case where a rental car employee consented to a vehicle being rented by an underage driver, contrary to company procedure, and interpreted it, at para. 32, to stand for the proposition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 so long as the transfer of car keys from owner to second party is done by an exercise of free will, and the second party gives the keys to a third party by free will, the owner will be deemed to have consented to the third party's possession of the car. That will be the result even though the owner and the second party had an understanding that the third party was not to ever get possession of those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concluded that, except for the fact that the father did not obtain a financial benefit from the friend's possession of the vehicle, the case was not distinguishable from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In the present case, other than the fact that the agreement forbidding other drivers was written, rather than oral, the facts cannot be distinguished from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Enterprise freely gave the keys to Ms. Kauth, she freely gave the keys to Mr. Morris, despite expressly agreeing that there would be no other drivers. Enterprise would, on the logic of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be taken to have consented to Mr. Morris' possession of the vehicle and therefore, Enterprise would be vicariously liable pursuant to s. 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any liability that Mr. Morris may have for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On its face, it would appear that this decision would be binding on this Court, because the facts cannot be differentiated merely because the agreement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was oral and not written. In </w:t>
      </w:r>
      <w:r>
        <w:rPr>
          <w:rFonts w:ascii="arial" w:eastAsia="arial" w:hAnsi="arial" w:cs="arial"/>
          <w:i/>
          <w:color w:val="000000"/>
          <w:sz w:val="20"/>
          <w:lang w:val="en-US" w:eastAsia="en-US" w:bidi="ar-SA"/>
        </w:rPr>
        <w:t>Hansard, Spruce Mills Ltd., Re</w:t>
      </w:r>
      <w:r>
        <w:rPr>
          <w:rFonts w:ascii="arial" w:eastAsia="arial" w:hAnsi="arial" w:cs="arial"/>
          <w:color w:val="000000"/>
          <w:sz w:val="20"/>
          <w:lang w:val="en-US" w:eastAsia="en-US" w:bidi="ar-SA"/>
        </w:rPr>
        <w:t xml:space="preserve"> (1954), </w:t>
      </w:r>
      <w:hyperlink r:id="rId400"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at 592, </w:t>
      </w:r>
      <w:hyperlink r:id="rId400" w:history="1">
        <w:r>
          <w:rPr>
            <w:rFonts w:ascii="arial" w:eastAsia="arial" w:hAnsi="arial" w:cs="arial"/>
            <w:i/>
            <w:color w:val="0077CC"/>
            <w:sz w:val="20"/>
            <w:u w:val="single"/>
            <w:shd w:val="clear" w:color="auto" w:fill="FFFFFF"/>
            <w:lang w:val="en-US" w:eastAsia="en-US" w:bidi="ar-SA"/>
          </w:rPr>
          <w:t>13 W.W.R. (N.S.) 285</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the Court held that a trial judge should follow the decisions of his brother judges of the same court unless subsequent decisions have affected the validity of the impugned judgment; it is demonstrated that some binding authority in case law or some relevant statute was not considered; or the judgment was unconsidered, where an immediate decision is given without the opportunity to fully consult authority. If none of these situations exist, barring a distinguishing feature between the facts, a court would be correct in following decisions of a court of the same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the basis of the test set out in </w:t>
      </w:r>
      <w:r>
        <w:rPr>
          <w:rFonts w:ascii="arial" w:eastAsia="arial" w:hAnsi="arial" w:cs="arial"/>
          <w:i/>
          <w:color w:val="000000"/>
          <w:sz w:val="20"/>
          <w:lang w:val="en-US" w:eastAsia="en-US" w:bidi="ar-SA"/>
        </w:rPr>
        <w:t>Hansard, McEvoy</w:t>
      </w:r>
      <w:r>
        <w:rPr>
          <w:rFonts w:ascii="arial" w:eastAsia="arial" w:hAnsi="arial" w:cs="arial"/>
          <w:color w:val="000000"/>
          <w:sz w:val="20"/>
          <w:lang w:val="en-US" w:eastAsia="en-US" w:bidi="ar-SA"/>
        </w:rPr>
        <w:t xml:space="preserve"> in my view is not binding on this Court as it failed to consider binding authority. In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Smaldino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Prasad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Louis</w:t>
      </w:r>
      <w:r>
        <w:rPr>
          <w:rFonts w:ascii="arial" w:eastAsia="arial" w:hAnsi="arial" w:cs="arial"/>
          <w:color w:val="000000"/>
          <w:sz w:val="20"/>
          <w:lang w:val="en-US" w:eastAsia="en-US" w:bidi="ar-SA"/>
        </w:rPr>
        <w:t xml:space="preserve"> the Court refused to find consent where it would not have been given in the circumstances.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overlooks these decisions and does not consider this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Court instead held the father liable because they interpreted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to mean that if keys are transferred by free will to the daughter, the father is deemed to consent to subsequent transfers of possession including his daughter's friend's possession. However, in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the company transferred possession to the rental car employee and gave the employee the authority to transfer possession to people wishing to rent the vehicle. Therefore the employee had authority to transfer the vehicle subject to following proper procedures, but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the daughter lacked authority to transfer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Furthermore, the Court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relied upon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to support the finding of consent.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consent was given subject to conditions upon the authorized driver, namely that the company vehicle was not to be operated by an employee for personal use. These conditions were breached, but the Court held that the conditions did not vitiate the consent.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the Court interpreted "no other drivers" as a condition. However, in my view there is a distinction between no consent at all and consent subject to conditions. The Court should first find implied consent exists on all the circumstances and then apply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to any conditions added to that implied consent: </w:t>
      </w:r>
      <w:r>
        <w:rPr>
          <w:rFonts w:ascii="arial" w:eastAsia="arial" w:hAnsi="arial" w:cs="arial"/>
          <w:i/>
          <w:color w:val="000000"/>
          <w:sz w:val="20"/>
          <w:lang w:val="en-US" w:eastAsia="en-US" w:bidi="ar-SA"/>
        </w:rPr>
        <w:t>K.T. v. Tran</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2007 ABCA 13</w:t>
        </w:r>
      </w:hyperlink>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280 D.L.R. (4th) 142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Had the Court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considered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Smaldino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Prasad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Louis</w:t>
      </w:r>
      <w:r>
        <w:rPr>
          <w:rFonts w:ascii="arial" w:eastAsia="arial" w:hAnsi="arial" w:cs="arial"/>
          <w:color w:val="000000"/>
          <w:sz w:val="20"/>
          <w:lang w:val="en-US" w:eastAsia="en-US" w:bidi="ar-SA"/>
        </w:rPr>
        <w:t xml:space="preserve">, the result may have still been the same on the second ground for finding consent, stated by Mr. Justice Rogers, but not on the first. Based on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Smaldino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Prasad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Louis</w:t>
      </w:r>
      <w:r>
        <w:rPr>
          <w:rFonts w:ascii="arial" w:eastAsia="arial" w:hAnsi="arial" w:cs="arial"/>
          <w:color w:val="000000"/>
          <w:sz w:val="20"/>
          <w:lang w:val="en-US" w:eastAsia="en-US" w:bidi="ar-SA"/>
        </w:rPr>
        <w:t xml:space="preserve">, consent can only be implied if it would have been granted as a matter of course in the circumstances.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the father's purpose in telling the children to not let others drive his cars was not to limit his statutory liability as the car's owner, but because he trusted his kids but not their friends and he wanted to keep his children and his cars safe. It could be argued that the father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would have consented in the circumstances to the friend driving because his daughter was intoxicated and he would want the car and his daughter home safely. On the present facts, like in </w:t>
      </w:r>
      <w:r>
        <w:rPr>
          <w:rFonts w:ascii="arial" w:eastAsia="arial" w:hAnsi="arial" w:cs="arial"/>
          <w:i/>
          <w:color w:val="000000"/>
          <w:sz w:val="20"/>
          <w:lang w:val="en-US" w:eastAsia="en-US" w:bidi="ar-SA"/>
        </w:rPr>
        <w:t>Prasad</w:t>
      </w:r>
      <w:r>
        <w:rPr>
          <w:rFonts w:ascii="arial" w:eastAsia="arial" w:hAnsi="arial" w:cs="arial"/>
          <w:color w:val="000000"/>
          <w:sz w:val="20"/>
          <w:lang w:val="en-US" w:eastAsia="en-US" w:bidi="ar-SA"/>
        </w:rPr>
        <w:t>, it is hard to imagine that Enterprise would have given consent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trend in our jurisprudence tends to be more restrictive than the broad policy approach that is taken in some United States jurisdictions and in some degrees by the Alberta courts. I am satisfied that the test for implied consent in British Columbia is whether the owner would have consented in the circumstances: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Smaldino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Prasad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Louis</w:t>
      </w:r>
      <w:r>
        <w:rPr>
          <w:rFonts w:ascii="arial" w:eastAsia="arial" w:hAnsi="arial" w:cs="arial"/>
          <w:color w:val="000000"/>
          <w:sz w:val="20"/>
          <w:lang w:val="en-US" w:eastAsia="en-US" w:bidi="ar-SA"/>
        </w:rPr>
        <w:t>. Based on the facts of the present case, there was no express consent given by Enterprise to Mr. Morris and in my view, it is clear that consent would not have been given in the circumstances. Enterprise did everything possible to limit its liability and if its liability is to be extended in any event, to prefer the protection of third parties, then that is the job of the Legislature to rewrite the wording of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therefore dismiss the action against the defendant Enterprise and they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F.W. 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Nabholtz v. Kimberley (City), [2002] B.C.J. No. 261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27784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M.P.L.R. (3d) 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1048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Jean-Marc Nabholtz, plaintiff, and City of Kimberley,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20"/>
      <w:bookmarkEnd w:id="13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Landowners or occupiers of land.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8"/>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Nabholtz, for injuries sustained in a slip and fall accident on premises under the control and responsibility of the defendant, the City of Kimberley. The plaintiff fell in an outdoor pedestrian shopping area at eleven in the morning. There had been four centimetres of snow the night before and that morning although it was not snowing at the time of the fall. The area had been inspected, cleared, and sanded at seven and eleven thirty in the morning in accordance with the defendant's policy. Steel bridges had been installed but not used by the plaintiff. The plaintiff did not inform the defendant of the fall until nearly seven weeks after the incident.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4"/>
            <w:bookmarkEnd w:id="13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not succeeded in his burden of proving that the defendant breached its standard of care, particularly given the surrounding circumstances of budgetary considerations and manpower availability. The defendant's policy on snow removal was reasonable and it had been implemented reasonably.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Legislation Cited_8"/>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4"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 R.S.B.C. 1979, c. 303, ss. 1, 3(1), 3(2)(a), 3(3)(a), 3(3)(c), 3(3)(d).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5" w:name="Counsel_20"/>
      <w:bookmarkEnd w:id="1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 A. Fraser, for the plaintiff. Donald Paolini,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20"/>
      <w:bookmarkEnd w:id="136"/>
      <w:r>
        <w:pict>
          <v:line id="_x0000_s1126"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BROOKE J."/>
            <w:bookmarkEnd w:id="137"/>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March 4, 1995, the plaintiff slipped and fell in an outdoor pedestrian shopping area under the control and responsibility of the defendant. The plaintiff seeks damages for injuries he sustained in the fall and pleads the Occupiers Liability Act, R.S.B.C. 1979, c. 303 and amendments thereto,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says that it took reasonable care to ensure that the plaintiff and others would be reasonably safe in using the area and seeks summary trial and dismissal of the plaintiff's claim pursuant to Rule 18(A). The plaintiff submits that the evidence is such to establish the defendant's liability and seeks an order for judgment against the defendant for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resided in Edmonton, Alberta, in 1995 but had, for several years, visited Kimberley where he owned a ski chalet for winter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his fiancée were vacationing in Kimberley on March 4th and on that Saturday morning, somewhat before 11:00, they had been shopping in a pedestrian mall known as the "Platzl". Both the plaintiff and his fiancée describe the day as clear and sunny, although it had snowed overnight and the Platzl was covered with untracked, virgin snow. The plaintiff says that the snow was as much as 20 centimetres deep (paragraph 17) and that there had not been any apparent snow clearing or sanding. At paragraph 44 of his affidavit, the plaintiff refers to a climatological report for March 4th and says that, at the time of the accident, there was a fresh blanket of snow several centimetres deep.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describes making his way in a normal, cautious, and reasonable fashion when, suddenly, his feet shot out from under him on an underlying sheet of ice. The plaintiff describes the area where he fell as a designated pathway regularly used by persons making their way to a parking area, which lies behind the Platzl.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fiancée (now wife) says that the Platzl was blanketed with a layer of virgin snow and that there was no evidence of snow removal or sanding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did not report the accident to the defendant until approximately seven weeks after the event. Accordingly, the defendant had no opportunity to physically inspect the sight within a short time after the incident nor have any witnesses to the event, other than the plaintiff's wife, come forward. What the defendant says, however, is that it assumes a limited responsibility for snow removal and sanding of the Platzl within the budgetary and manpower limitations of the Leisure Services department. The Leisure Services manager says that, during weekdays, an employee inspects the Platzl at approximately 7 a.m. and arranges for ploughing, sanding, salting, or snow removal to be done if required. In the event of a significant snowfall during the day, a further inspection may be done in the afternoon. On weekends and as a result of budgetary and manpower constraints, the Platzl is inspected between 11:30 a.m. and 1 p.m. On March 3rd, an employee of the defendant, David Oscarson, deposed that he attended for approximately one hour and sanded the corners, pathways, and bridges in the Platzl area. Another employee of the defendant, Ray Creasy, deposed that he attended at the Platzl shortly after 11:30 a.m. and spent an hour clearing the paths and sanding them. He noticed nothing unusual in the condition of the walkways or the bridges over the swales.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of the defendant is clear and unequivocal that on March 4, 1995, there were steel bridges with handrails over what was called a swale. The swale is a downward sloping part of the Platzl designed to collect and dispose of water. The plaintiff and his fiancée are equally clear in deposing that they saw no bridges and in fact remarked on their presence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case is founded on section 3 of the Occupiers Liability Act which provides: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person...on the premises...will be reasonably safe in using the premises.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subsection (1), an occupier has no duty of care to a person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risks willingly accepted by that person as his own risks, or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than a duty not to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common ground that the defendant is an occupier having responsibility for and control over the condition of the premises and that the Platzl falls within the definition of "premises" contained in section 1 of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case, in essence, is that the fresh snow concealed the ice beneath it, that there was no evidence that the snow had recently been cleared or the surface sanded, and that, in itself, coupled with the slip and fall is proof that the defendant failed in its duty of care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law is clear that an occupier is not an insurer of the plaintiff's safety. Its duty is to take that care that in all the circumstances of the case is reasonable to see that a person will be reasonably safe in using the premises. The standard of care is reasonableness and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Brown v. British Columbia (Minister of Transportation &amp; Highways) </w:t>
      </w:r>
      <w:hyperlink r:id="rId409" w:history="1">
        <w:r>
          <w:rPr>
            <w:rFonts w:ascii="arial" w:eastAsia="arial" w:hAnsi="arial" w:cs="arial"/>
            <w:i/>
            <w:color w:val="0077CC"/>
            <w:sz w:val="20"/>
            <w:u w:val="single"/>
            <w:shd w:val="clear" w:color="auto" w:fill="FFFFFF"/>
            <w:lang w:val="en-US" w:eastAsia="en-US" w:bidi="ar-SA"/>
          </w:rPr>
          <w:t>(1994), 89 B.C.L.R. (2d) 1</w:t>
        </w:r>
      </w:hyperlink>
      <w:r>
        <w:rPr>
          <w:rFonts w:ascii="arial" w:eastAsia="arial" w:hAnsi="arial" w:cs="arial"/>
          <w:color w:val="000000"/>
          <w:sz w:val="20"/>
          <w:lang w:val="en-US" w:eastAsia="en-US" w:bidi="ar-SA"/>
        </w:rPr>
        <w:t xml:space="preserve"> (S.C.C.), Mr. Justice Cory says this at page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Ice is a natural hazard of Canadian winters. It can form quickly and unexpectedly. Although it is an expected hazard it is one that can never be completely prevented. Any attempt to do so would be prohibitively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this observation apt in all the circumstances of this case. The presence of snow implies the risk of ice. A blanket of virgin snow must be seen as requiring particular care, mindful of the risk of ice beneath it. A walk in the snow is an activity which assumes some risk of a slip and a lesser risk of a fall. An occupier has a duty not to act with reckless disregard to the safety of a user of the premises. The duty of care at common law is to take reasonable steps to protect the plaintiff against a known or foreseeable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respect of both the statutory and the common law claim, the defendant says that it does not owe the plaintiff a duty of care with respect to the condition of the Platzl because of its policy with respect to maintenance and inspection. Alternatively, it says that if it did owe a duty of care to the plaintiff then that duty was discharged by a system of inspection and maintenance prescribed by policy. It is submitted that the decisions of the Supreme Court of Canada in Brown, supra, and in Just v. British Columbia </w:t>
      </w:r>
      <w:hyperlink r:id="rId410" w:history="1">
        <w:r>
          <w:rPr>
            <w:rFonts w:ascii="arial" w:eastAsia="arial" w:hAnsi="arial" w:cs="arial"/>
            <w:i/>
            <w:color w:val="0077CC"/>
            <w:sz w:val="20"/>
            <w:u w:val="single"/>
            <w:shd w:val="clear" w:color="auto" w:fill="FFFFFF"/>
            <w:lang w:val="en-US" w:eastAsia="en-US" w:bidi="ar-SA"/>
          </w:rPr>
          <w:t>(1989), 41 B.C.L.R. (2d) 350</w:t>
        </w:r>
      </w:hyperlink>
      <w:r>
        <w:rPr>
          <w:rFonts w:ascii="arial" w:eastAsia="arial" w:hAnsi="arial" w:cs="arial"/>
          <w:color w:val="000000"/>
          <w:sz w:val="20"/>
          <w:lang w:val="en-US" w:eastAsia="en-US" w:bidi="ar-SA"/>
        </w:rPr>
        <w:t xml:space="preserve"> (S.C.C.) stand for the proposition that policy decisions are not reviewable unless those decisions are so irrational as not to be a proper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Brown, supra, Mr. Justice Cory states at pages 14-15: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True policy decisions involve social, political and economical factors. In such decisions, the authority attempts to strike a balance between efficiency and thrift, in the context of planning and predetermining the boundaries of its undertakings and of their actual performance. True policy decisions will usually be dictated by financial, economic, social and political factors or constraints.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operational area is concerned with the practical implementation of the formulated policies, it mainly covers the performance or carrying out of a policy. Operational decisions will usually be made on the basis of administration direction, expert or professional opinion, technical standards or general standards of reasonableness.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should not leave this issue without addressing the two bases put forward by the appellant for the interpretation and application of Just. First, the appellant contended that policy decisions must be limited to so called threshold decisions, that is to say, broad initial decisions as to whether something will or will not be done. This would be contrary to the principles set out in Just referred to earlier. Therefore, this submission cannot be accepted. Policy decisions can be made by persons at all levels of authority. In determining whether an impugned decision is one of policy, it is the nature of the decision itself that must be scrutinized, rather than the position of the person who makes it. The appellant next alleges that the system itself was unreasonable. As I have already said, this decision was clearly one of policy. Such a policy decision cannot be reviewed on a private law standard of reasonableness. Since no allegation was made that the decision was not bona fide or was so irrational that it could not constitute a proper exercise of discretion, it cannot be attacked.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says, in answer, that even if the maintenance and inspection practices of the defendant rise to the level of policy, the implementation of that policy may be scrutinized to determine whether it is reasonable. The factors which may be considered in determining reasonableness include:</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known or foreseeable harm;</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that harm;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costs to prevent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relies upon Ingles v. Tutkaluk Construction Ltd., </w:t>
      </w:r>
      <w:hyperlink r:id="rId411" w:history="1">
        <w:r>
          <w:rPr>
            <w:rFonts w:ascii="arial" w:eastAsia="arial" w:hAnsi="arial" w:cs="arial"/>
            <w:i/>
            <w:color w:val="0077CC"/>
            <w:sz w:val="20"/>
            <w:u w:val="single"/>
            <w:shd w:val="clear" w:color="auto" w:fill="FFFFFF"/>
            <w:lang w:val="en-US" w:eastAsia="en-US" w:bidi="ar-SA"/>
          </w:rPr>
          <w:t>[2000] 1 S.C.R. 298</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the following facts: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least four centimetres of snow fell during the night of March 3 and 4, 1995 and in the early morning hours.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not snowing at the time of the slip and fall but that the surface of the Platzl was covered with snow and at the time of the accident, there had been little pedestrian traffic.</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hard surface beneath the snow was slippery, and steel bridges were installed over the swale but not used by the plaintiff.</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slipped and fell within the Platzl before it had been inspected by employees of the defendant and snow cleared and sanding done.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on the 4th of March the policy of the defendant was to inspect the Platzl on weekdays at approximately 7 a.m. and to take remedial measures where necessary and to inspect the Platzl on weekends after 11:30 and to take remedial measures.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did inspect the Platzl on March 4th in accordance with this policy and cleared snow from and sanded pathways.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afford the defendant a reasonable opportunity to inspect the Platzl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leisure services department of the defendant was given a budget and responsibility for inspection and maintenance of the Platzl. It identified times of inspection and maintenance that were different for weekdays and weekends and it did so taking into account the allocated budget and manpower. It was not argued that this was not a bona fide decision nor that it was so irrational as to constitute an improper exercise of discretion. I am satisfied that the defendant's inspection and snow removal system must be measured in light of all of the surrounding circumstances including budgetary considerations and manpower availability. The burden remains on the plaintiff to prove on the balance of probabilities that the defendant breached the standard of care in all of the surrounding circumstances. The accident and the resulting injury, which doubtless occurred, are unfortunate but I cannot find that the defendant failed to discharge its policy or that the policy was manifestly irrational. Nor approaching the issue from the perspective of Ingles, supra, can I find that the implementation of the policy was unreasonable having regard to the foreseeable risk of harm, the gravity of that harm, and the cost of prevention. The Platzl had little use that morning, no complaints had been made to the defendant, bridges were installed over the swale, and the cost of prevention taken to its logical conclusion could reasonably be seen as prohibitive having regard to budgetary and manpower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result, the plaintiff's case is dismissed. The defendant is entitled to its costs at Scale 3 unless there are matters which require further submissions in which event those can be brought before me through the registry in the ordinary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Naidu v. Mann, [2007] B.C.J. No. 1916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15-19 and 22-26, and February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M011220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1916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2007 BCSC 1313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161 A.C.W.S. (3d) 429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53 C.C.L.T. (3d) 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2007 CarswellBC 1997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Ashwinita Naidu, Plaintiff, and Davinder Singh Mann and Rajwant Kaur Gill,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8" w:name="Keywords_21"/>
      <w:bookmarkEnd w:id="138"/>
      <w:r>
        <w:rPr>
          <w:rFonts w:ascii="arial" w:eastAsia="arial" w:hAnsi="arial" w:cs="arial"/>
          <w:b/>
          <w:color w:val="000000"/>
          <w:sz w:val="20"/>
          <w:lang w:val="en-US" w:eastAsia="en-US" w:bidi="ar-SA"/>
        </w:rPr>
        <w:t>Damages — General damages — For personal injuries — Considerations — Duration of loss — Employment status — Pre-existing injury — Cost of future care — Loss of earning capacity — Non-pecuniary damages, including pain and suffering — Assessment of damages in personal injury action arising from motor vehicle accident in 2000 — Plaintiff claimed damages for chronic pain, thoracic outlet syndrome, soft tissue injury to neck and lower back, myofascial pain, temporo-mandibular joint dysfunction, muscle contraction headaches, post-traumatic sleeplessness, and depression — Plaintiff exaggerated injuries and failed to mitigate by not having surgery in 2004 — Damages reduced by 70 per cent — Non-pecuniary damages of $50,000 awarded — Plaintiff awarded $10,000 for loss of income-earning capacity and $18,000 for cost of future care — Special damages of $9,501 awarded.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Neck — Whiplash — Head injuries — Headaches — Jaws — Non-pecuniary award — $40,001 to $60,000 — Considerations impacting on award — Mitigation — Credibility — Assessment of damages in personal injury action arising from motor vehicle accident in 2000 — Plaintiff claimed damages for chronic pain, thoracic outlet syndrome, soft tissue injury to neck and lower back, myofascial pain, temporo-mandibular joint dysfunction, muscle contraction headaches, post-traumatic sleeplessness, and depression — Plaintiff exaggerated injuries and failed to mitigate by not having surgery in 2004 — Damages reduced by 70 per cent — Non-pecuniary damages of $50,000 awarded — Plaintiff awarded $10,000 for loss of income-earning capacity and $18,000 for cost of future care — Special damages of $9,501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9" w:name="Case Summary_19"/>
            <w:bookmarkEnd w:id="1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in personal injury action arising from motor vehicle accident in 2000 -- Plaintiff claimed to have suffered significant injuries in accident, resulting in chronic pain, thoracic outlet syndrome, soft tissue injury to neck and lower back, myofascial pain, temporo-mandibular joint dysfunction, muscle contraction headaches, post-traumatic sleeplessness, and depression -- Plaintiff claimed to suffer ongoing pain, disrupted sleep, fatigue, sexual dysfunction, irritability, and depression -- Plaintiff unable to enjoy recreational activities in which she participated before accident -- Plaintiff sought damages for non-pecuniary loss, past loss of income, loss of future income-earning capacity, cost of future care, special damages, and in-trust compensation for services provided by her mother-in-law -- Plaintiff enrolled in legal secretary program prior to accident -- Plaintiff dropped out of school in 2001 when her father died and she became guardian of her niece -- Plaintiff experienced neck and back problems prior to accident -- Plaintiff worked as cashier part-time and for FedEx prior to accident -- Plaintiff failed to attend active rehabilitation program after accident -- Plaintiff left FedEx job in 2002 -- Plaintiff now worked full-time as bank teller since 2005 -- HELD: Total damages of $105,281 awarded -- Plaintiff failed to proves she suffered damages to extent claimed -- Plaintiff exaggerated symptoms -- Plaintiff suffered from thoracic outlet syndrome, soft tissue injuries as a result of accident -- Predisposition to thoracic outlet syndrome -- Soft tissue injuries resolved one year after accident -- Plaintiff also suffered from temporo-mandibular joint dysfunction, headaches and sleeping difficulties after accident -- Temporo-mandibular joint dysfunction, resolved by end on 2000 -- Plaintiff failed to take reasonable steps to achieve maximum recovery within a reasonable period of time after accident -- Plaintiff should have undergone surgery for thoracic outlet syndrome by end of 2004 as there was 70 per cent chance her symptoms would have improved -- Plaintiff's damages thus reduced by 70 per cent after 2004 -- Non-pecuniary damages of $50,000 awarded -- Considering plaintiff's poor academic track record, previous complaints of neck and back pain, and predisposition to thoracic outlet syndrome which could have been rendered symptomatic by repetitive stress involved in such occupation, there was 30 per cent chance that plaintiff would have obtained employment as legal secretary -- Plaintiff awarded $15,000 for past wage loss -- Plaintiff rendered less attractive as employee due to inability to engage in repetitive motions -- Plaintiff most probably able to continue working as bank teller -- Plaintiff awarded $10,000 for loss of income-earning capacity and $18,000 for cost of future care -- Special damages of $9,501 awarded for medications, medical devices and transportation to appointments.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0" w:name="Counsel_21"/>
      <w:bookmarkEnd w:id="1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Kazimirski, M. Bolda.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 Moen, A. Burnett.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21"/>
      <w:bookmarkEnd w:id="141"/>
      <w:r>
        <w:pict>
          <v:line id="_x0000_s1130" style="position:absolute;z-index:2517831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Corrigenda were released by the Court August 30, 2007 and October 18, 2007; the corrections have been made to the text and the Corrigenda are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RUSSELL J."/>
            <w:bookmarkEnd w:id="142"/>
            <w:r>
              <w:rPr>
                <w:rFonts w:ascii="arial" w:eastAsia="arial" w:hAnsi="arial" w:cs="arial"/>
                <w:b/>
                <w:color w:val="000000"/>
                <w:sz w:val="30"/>
                <w:lang w:val="en-US" w:eastAsia="en-US" w:bidi="ar-SA"/>
              </w:rPr>
              <w:t>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complex personal injury case arising from a motor vehicle accident which occurred on May 21, 2000. Liability for the accident is admitted. However, damages are highly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to have suffered significant injuries in the accident, which have resulted in diagnoses of chronic pain, thoracic outlet syndrome ("TOS"), soft tissue injury to the neck and lower back, myofascial pain, temporo-mandibular joint dysfunction ("TMJ"), muscle contraction headaches, post-traumatic sleeplessness, and depression. There is the option of surgery to alleviate some of the plaintiff's suffering due to TOS, but the surgery will not assist with the plaintiff's other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these conditions, the plaintiff claims to suffer ongoing pain, disrupted sleep, fatigue, sexual dysfunction, irritability, and depression. Further, she states she is unable to enjoy recreational activities in which she participated before the accident. She seeks damages for non-pecuniary loss, past loss of income, loss of future income-earning capacity, cost of future care, special damages, and in-trust compensation for services provided by her mother-in-law, which total approximately $1.3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accept that the plaintiff suffered mild to moderate soft tissue injury as a result of the accident, but reject that she has developed TOS as a result of the accident. They argue that her life trajectory has not been significantly altered. Alternatively, they submit that the plaintiff had a predisposition to TOS and that her damages should, therefore, be significantly discounted. They submit that an appropriate award of damages would be in the range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outcome of this case turns primarily on a consideration of numerous expert reports and the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very little dispute that the accident involving the plaintiff was quite serious. The accident occurred at the intersection of 10th Avenue and 2nd Street in New Westminster at approximately 2:00 a.m. on May 21, 2000. The plaintiff was wearing her seatbelt. The plaintiff was stopped behind a taxi that was waiting to make a left turn when she saw a vehicle approaching rapidly in her rear view mirror. She decided that the vehicle was not going to stop, and braced for impact. The plaintiff's vehicle was pushed through the intersection, hitting a curb on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both vehicles involved in the accident were written off. Damage to the plaintiff's car alone was over $9,000. The defendants admit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and several lay witnesses testified as to the plaintiff's condition and activities, both before and after the accident. There are many inconsistencies in the plaintiff's evidence, both internally in regard to what she told various doctors, what she said at examinations for discovery, and what she said at trial; and also between the plaintiff and her other witnesses. The plaintiff appears to have a selective memory and to have difficulty expressing herself precisely. She neglected to mention many details which are quite significant to the outcome of her case, stating these were not important. Thus, while I do not think that the plaintiff is purposely untruthful, her credibility and reliability as a witness are not strong. Based on my review of her evidence, I find that she tends to exaggerate her symptoms when she feels this is to her advantage. This finding has particular relevance to this case, where there is little objective medical evidence and the foundation of the plaintiff's case is her own reporting of symptoms. Additionally, both her husband and mother-in-law testified on her behalf and both, obviously, have a significant interest in any award of damages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the accident, the plaintiff reported being healthy, happy and active. She had graduated from high school, finishing approximately one year later than she should have because she had to re-take a computer course. She enrolled at Douglas College, and proceeded with her education in a stop and start manner. The plaintiff was initially enrolled in criminology and, subsequently, changed to general studies and then to the legal secretary program. She does not know why her transcript changed to general studies. Before the accident, she had attempted 28 courses and had passed 9 of those. She had been on probation for 5 semesters and had been required to withdraw on two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Some portions of the plaintiff's education are relevant to matters at issue in this case, specifically the times at which she was taking computer courses. In the fall of 1997, the plaintiff passed two courses, Employability Skills and Word Processing, and dropped Keyboard Accuracy II. In the winter of 1998, she withdrew from Microcomputer Applications, completed two legal procedure courses and Keyboard Accuracy I. She took no courses in the fall of 1998. In the winter and fall of 1999, the plaintiff was helping her father with his business and, therefore, withdrew from or did not complete any of the courses she was taking. In the winter of 1999, the plaintiff was enrolled in two legal procedure courses and Legal Transcription. In the fall of 1999, the plaintiff withdrew from Microcomputer Applications. In the winter of 2000, the last semester before the accident, the plaintiff did not take any courses. She stated that she could not really remember why but, likely, it was because of the demands of her family or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the accident, the plaintiff in the fall of 2000 failed Microcomputer Applications and withdrew from Keyboard Accuracy II. In the winter term of 2001, she passed both of these courses. In the fall of 2001, the plaintiff withdrew from a legal procedure course and, subsequently, did not return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she struggled academically, both in high school and at college, because of competing demands of family and work. The plaintiff worked to put herself through college, rather than taking on student loans, because her family placed a high value on education, but her parents did not want her to accumulate student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Contrary to her statements to physicians, the plaintiff did experience some neck and back problems prior to the accident. She says she was not reminded of her previous complaints until she received a letter from her lawyer regarding prior visits to her doctor and chiropractor; and that she did not think this was important because the problems had cleared up. At her examination for discovery, the plaintiff stated she had never been to a chiropractor. However, she received chiropractic treatment from Dr. Sam in March and April of 1998; and saw her family physician, Dr. Sandhu, in April 1998 and April 1999 regarding pain in her neck, arm,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Sam did not testify, but his transcribed clinical records indicate reports of left cervical thoracic pain and headaches, and pain in the left arm with computer work an aggravating factor, on March 23, 1998. Pain in the left arm had decreased by April 4, 1998. Dr. Sandhu's records indicate neck and shoulder pain for weeks, increased tenderness, and no trauma on April 4 and April 19, 1998. The plaintiff described these problems as a "kink in the neck." However, these pains seem to have resolved completely and the plaintiff had no complaints of pain at the time of the accident. The defendants observe that these complaints appeared towards the end of terms in which the plaintiff was taking computer courses; while the plaintiff points out that she did not have problems when taking computer courses prior to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the accident, the plaintiff worked at Sears part-time as a sales representative and cashier, commencing in late 1999. She worked approximately 10-15 hours per week (on weekends and occasionally during the week) and earned $9.37 per hour. In April 2000, the plaintiff commenced a second part-time job with FedEx, doing data entry and cargo handling. She worked there approximately 20 hours per week, earning $11.29 per hour. The plaintiff was glad to have landed her position with FedEx as she was able to work in an office environment, received benefits, and felt that there was room for her to move up within the organization once she achieved her qualifications as a legal secretary. The position at Fed Ex involved some heavier lifting which, according to the plaintiff, was either 20-30 pounds or 50-60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accident, the plaintiff was taken to emergency at Royal Columbian Hospital. She returned to emergency the next day because she was still in pain, vomiting, and had headaches. She went to see Dr. Sperling, her family physician, three days after the accident because her complaints continued. The plaintiff was unable to work at this time due to her injuries. The plaintiff attempted physiotherapy, which seemed to make her condition worse, and massage therapy, which helped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September and October of 2000, the plaintiff attended an active rehabilitation program at the Canadian Back Institute ("CBI"). However, she was requested to withdraw from the program because of her poor attendance record. Here, there is a dispute as to why the plaintiff was asked to withdraw: The plaintiff says that the sessions made her headaches worse and that Dr. Sperling advised her not to attend the program. However, this explanation is not consistent with the CBI records, nor with Dr. Sperling's records. The CBI records indicate that the plaintiff cancelled appointments for various reasons - had class at that time, not sleeping all night, migraine, just woke up, stomach cramps. Records indicate six cancelled appointments and three no-shows. Dr. Sperling's records indicate that she was not consulted about headaches until October 16, and she advised the plaintiff at that time to continue with therapy and to take anti-inflammatories. On November 10, after the plaintiff had been removed from the CBI program, the plaintiff told Dr. Sperling she could not attend the program because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Plaintiff's Employment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returned to light duties at Sears on October 29, 2000. She testified that she ended up working mostly at the cash register as she found working on the floor, folding and replacing clothing, to be too difficult for her. She returned to her full duties at Sears in June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returned to light duties at FedEx on March 31, 2001, doing photocopying, faxing and filing, with no data entry or cargo handling. She returned to full duties in June 2001, but experienced worsening symptoms including pain and numbness radiating into her hand. She also returned to school in the fall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October 6, 2001, the plaintiff suffered a tragedy when her father and brother-in-law were killed and her sister was severely injured in a motor vehicle accident in Seattle. As a result, the plaintiff became the guardian of her niece and took over responsibility for her care. The plaintiff dropped out of school at this time and agreed that, even if she had not had the accident, she would have stopped school due to the death of her father. The plaintiff grieved during this time, but returned to work at Sears and FedEx in December of 2001. Although she attempted full duties, the plaintiff had difficulty with cargo handling at FedEx and worked almost exclusively at data entry. Ultimately, she decided to leave FedEx at the end of 2002 as she could not perform her duties. She says she found it difficult to leave as she felt it was good for her career to work there. After leaving FedEx, she increased her hours at Sears to 20-25 hours per week. She also received disability insurance benefits from FedEx.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end of 2003, the plaintiff stopped working at Sears and went to work at MJM Furniture in Abbotsford full-time. She told Dr. Cameron that she had left Sears because she had to lift things, but she told Dr. Lu that she left to try something different and because of low wages. She agreed that she left mainly because she had to lift things, but also because she needed a new job. However, she was let go from the position at MJM after approximately one and-a-half months because she reportedly could not do the job. The manager testified that she was not spending enough time with customers, as she would have to take breaks and sit down, and she was rubbing her arm and shoulder due to pain. The store was quite large and the plaintiff had to climb stairs as part of her duties, which she found difficult. The defendants asked the Court to infer from the notation on the plaintiff's Record of Employment and the fact that she collected Employment Insurance benefits following her dismissal, that she was, in fact, discharged because there was not sufficient work at the store. However, there is not sufficient evidence to establish that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was then unemployed for a period of time before finding work, in August 2004, at Discount Travel. This was a telephone sales job. However, the plaintiff indicated she had to leave that position because typing and being on the phone aggravated her shoulder and arm. In contrast, she stated at her examination for discovery that she left because it turned out she was not good at sales. This is also what she told Dr. Sperling. She was fired from that position on October 29,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January 2005, the plaintiff began working part-time at CIBC in Vancouver. She obtained a full time position at a downtown branch, but found she had difficulties due to the commute. Subsequently, she moved to a full time position at a Surrey branch of CIBC, which is much closer to her home. She found the commute easier, but still found aspects of the work difficult. She notes that she is able to do most of her job duties, but cannot lift coins and repetitive stamping of documents aggravates her shoulder. She also has difficulty counting large amounts of cash or doing the signature cards. Due to difficulties in concentration, the plaintiff gave evidence she has more problems with balancing her transactions than her co-workers. These problems had worsened by the time of trial as the plaintiff was not taking any medications during her pregnancy. Her co-workers assist her by doing coins and with helping her balance at the end of the day if they are finished early. She also has access to a stool, which allows her to stand up and sit down through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is concerned about her job security as she has difficulty balancing her transactions. However, this concern is inconsistent with the fact that the plaintiff has had both positive performance reviews and salary increases since starting with the bank. She agreed she has not missed out on any opportunities at the bank due to her condition, to date, and that she is presently earning more than she ever has previously. However, she views her position at CIBC as just a job, not a career. She does not think she is capable of doing the data entry that would be required for her to move to a more senior position within the bank. However, she plans to continue her work at the bank, after taking a one-year maternity leave, because she is able to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former manager testified that she had not had to discuss any problems with the plaintiff's skills, other than balancing problems, and that she had suggested the plaintiff go on short term disability leave if problems balancing continued to worsen with her pregnancy. She also testified that tellers might have to stay an additional 10-15 minutes late if they did not balance and that the next steps, after being a teller, are promotion to a personal banking associate and then a personal banker position. Those positions involve approximately 75% and 50% data entry,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Plaintiff's Physical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various physical complaints are featured in great detail in the various expert reports, as well as the plaintiff's own evidence. The plaintiff has reported difficulty sleeping since the accident, largely due to pain. She was diagnosed as suffering from TOS in 2001. She also suffered from depression. She attempted to use alcohol to help her sleep at the end of 2002, but this stopped when she was confronted by Mr. Svarovsky (now her husband) and after Dr. Sperling prescribed Paxil to assist with depression. Treatment seemed to ameliorate the plaintiff's depression over time, although the experts consistently noticed mild depression on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also reported jaw pain post-accident. At her examination for discovery, she reported that the jaw pain had resolved in November or December of 2000 with physiotherapy. She consulted Dr. Epstein about her jaw pain in 2003 and she stated she could manage it by avoiding certain foods. In 2006, she obtained a jaw splint, which had been recommended by Dr. Epstein initially in 2003. This device helped with her problems. On cross-examination, the plaintiff agreed that she had said at her examination for discovery that she had no jaw pain if she was not eating chewy foods. Additionally, the jaw splint had been recommended many months earlier, yet she still did not know if she had coverage for the device. She testified that she delayed getting the jaw splint because she could not afford it, as she was putting all of her money towards the purchase of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also suffered from constipation due to all of the medications she was taking. She saw a naturopath about this, with some relief obtained from recommended changes. She was also eventually diagnosed as being lactose intolerant and changes in relation to that diagnosis also helped her digestive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gained a significant amount of weight in 2003, which she noted displeased Mr. Svarovsky. She was subsequently able to return to a more normal weight with increased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Plaintiff's Relationships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Recreationally, the plaintiff enjoyed running, biking, swimming and working out at Spa Lady before the accident. She met her boyfriend, now husband, Rudy Svarovsky, in November of 1999 and enjoyed bowling, playing pool, and going off road with him. At the time of the accident, the plaintiff lived with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February 2002, the plaintiff injured her back while Mr. Svarovsky was attempting to teach her to ski. The plaintiff reports that she was only skiing on the bunny runs and that Dr. Sperling had encouraged her to stay active. However, the problems resulting from the ski incident appear to have resolved within approximately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attempted to water-ski in the summer of 2002, although she reported that she could not do this because she had to pull herself up with her arms. She also complained to Dr. Bozek that she could not participate in "air-chairing," which is described as comparable to water-skiing but in a seated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and Mr. Svarovsky purchased a house in Surrey with a $70,000 down payment in May 2002. Prior to that time, the plaintiff had been living with her mother. The plaintiff was unable to assist much with the move and states that she has relied heavily on Mr. Svarovsky and his mother, Mrs. Svarovsky, to assist with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Svarovsky testified that she regularly helps the plaintiff with household chores like ironing, washing dishes, vacuuming and looking after the garden. She estimates that she spends about one whole day per week assisting the plaintiff. Mrs. Svarovsky is very concerned that the plaintiff will be unable to care for her new child and indicated that she will forgo her usual winter trip to San Diego to help care for the child. She will also take unpaid time off if necessary to help look after the child. Mrs. Svarovsky agreed that she would help out with her grandchild even if the plaintiff were healthy, but that she would help more now because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beginning of 2003, the plaintiff went to San Diego, California, for a month in the Svarovskys' motor home. The following month she went to Fiji, partly as a vacation and partly to look after some of her father's affairs. She also went camping in the Okanagan in the motor home in the summer of 2003, on a one week honeymoon in Mexico in the summer of 2005, during which she could engage in very few activities, and to San Diego in the motor home again in June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married Mr. Svarovsky in August of 2005 and was given a Sea-Doo as a wedding present from him. However, she says that she has difficulty riding it, because of the need to pull with her arms, and that she can only drive it around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received confirmation she was pregnant on July 10, 2006, and stopped taking all of her medications upon discovering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Surgical Option for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Surgery is available in some cases to alleviate the symptoms related to TOS. The plaintiff notes that by 2004, Drs. Fry, Dhawan and Sperling had all discussed with her the prospect of proceeding with surgery for her TOS; and the fact that this was a good option for the plaintiff at that time, given the failure of conservative treatment to ameliorate her condition. She stated she understood that the numbness and tingling might go away (50-60% chance), but she would still have other pain. Additionally, she understood that it would be significant surgery and that she would be off work for six months (although the expert testimony was six weeks off work). She testified she did not have the surgery at that time because she was still hoping other options would work, that she was in difficult financial circumstances and that she wanted to wait until she had a full-time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the plaintiff became pregnant, surgery was put on hold for consideration, until after her pregnancy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Video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presented videotaped evidence of the plaintiff engaging in various activities, including working at Sears and chatting with her co-workers after a day of working at the bank. The videos showed that she rarely used her right hand, instead of her dominant left hand, although she did so occasionally. She constantly flipped her long hair back with both hands and did not appear to have any difficulty with that movement. She did not rub her shoulder and her arm, or cradle her arm, any more than anyone would who was doing a job in which one stands for long periods of time. She put articles of clothing into bags without much apparent difficulty. One video showed her chatting with co-workers after working at the bank for a day. She looked happy and did not appear to be in pain. There were also long periods of tape with no pictures of the plaintiff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did not see anything in the videos that would clearly describe pain behaviours. While ICBC argued that the videos did not support the extent of injury alleged by the plaintiff, her counsel argued that it showed pain behaviours. I find that the video evidence was inconclusive either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One interesting aspect of the video evidence is that it shows the plaintiff driving a Mercedes SUV at a time when she alleges that she could not afford the dental appliance recommended to treat her TMJ.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Sperling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Sperling is the plaintiff's family doctor, who provided several reports. She was accepted as an expert in medicine, particularly family practice. Dr. Sperling first saw the plaintiff in February 2000 and noted that she was in excellent health, with no past history of significant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Sperling next saw the plaintiff on May 24, 2000, regarding the injuries sustained by the plaintiff in the accident. Dr. Sperling detailed the physical complaints of the plaintiff, concluding that she had suffered cervical strain, soft-tissue injuries to the neck and back, chest wall contusion, right groin strain, right knee strain, vestibular dysfunction and muscle contraction headaches, as a result of the accident. A follow up visit on June 9 confirmed that the plaintiff still had restriction in all of her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July 7, 2000, the plaintiff reported that physiotherapy or physical activity seemed to make the pain worse, although examination indicated that the range of motion was somewhat improved. Dr. Sperling recommended massage therapy and advised the plaintiff to increase her level of physical activity, by walking and swimming or doing exercises in the pool. On August 28, 2000, Dr. Sperling noted that the plaintiff was feeling improved, but still had lower back pain and pain in her upper back in the left shoulder area. She was no longer experiencing headaches and was sleeping well. The range of motion had improved in the neck. Dr. Sperling's opinion was that the soft-tissue injuries were gradually resolving. Dr. Sperling recommended an active rehabilitation program, and advised the plaintiff to be as physically active as possible. The plaintiff's ability to return to work part-time at Sears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September 18, 2000, the plaintiff reported to Dr. Sperling that she had started school. She complained that the pain in her left shoulder and upper back was worse and that it radiated into both of her hands when she was working on the keyboard. Dr. Sperling noted evidence of left forearm tendonitis, which seemed to be related to the keyboard. On October 16, the plaintiff complained she was suffering from severe headaches which Dr. Sperling thought was related to referred pain from the plaintiff's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November 10, 2000, the plaintiff advised Dr. Sperling that she would not be continuing in the active rehabilitation program at the Canadian Back Institute due to the severity of her headaches. The plaintiff's inability to return to work at FedEx, due to her inability to do heavier lifting or data entry for long periods of time,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Visits with Dr. Sperling continued periodically. On April 3, 2001, the plaintiff advised that she was going to start an active rehab program and resume light duties at FedEx, three hours per day, five days per week. Dr. Sperling agreed that the plaintiff was ready to return to modified duties on a part-time basis. A follow up visit on April 13, 2001, indicated that, in Dr. Sperling's opinion, the plaintiff had a flare-up of her symptoms as a result of increasing her work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June 21, 2001, the plaintiff reported pain radiating into her left arm and left fingertips due to ongoing left shoulder and neck pain. This was the first report of numbness in the left hand, although the plaintiff denied having any weakness in her left hand. The symptoms in her arm were worse when keyboarding and all symptoms were worse after a day's work. At this point, the plaintiff was referred to Dr. Bozek,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July 13, 2001, the plaintiff reported that she was working full-time at both jobs, as she had been before the accident. The plaintiff did not return to Dr. Sperling regarding her accident-related injuries until a visit, due to lower back pain, on January 16, 2002. However, that pain was due to a skiing injury. The symptoms from this injury resolved by February 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April 12, 2002, Dr. Sperling again saw the plaintiff in relation to her injuries from the motor vehicle accident. The plaintiff reported increasing left arm pain and pain which radiated into the left hand, and that these symptoms were worse when she was trying to use a keyboard. Dr. Sperling reported that the symptoms of TOS had increased with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September 6, 2002, the plaintiff requested a note from the locum physician to take some time off work as her symptoms had increased. On September 20, 2002, the plaintiff reported that she was unable to do any lifting, even lighter lifting, and the work at FedEx seemed to exacerbate her symptoms. On October 12, the plaintiff was given a note that she would be unable to return to her job at FedEx. On November 27, Dr. Sperling noted a reduced range of motion in the left shoulder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January 17, 2003, Dr. Sperling reported her impression that the plaintiff was experiencing exacerbation of her symptoms. She was awaiting a report from a rehabilitation specialist, Dr. Dhawan, for further suggestions for treatment. On April 16, Dr. Sperling concluded that the plaintiff was depressed and prescribed an anti-depressant. The levels of depression had improved by June 17, 2003, although she was still at times quite depressed. Several visits and medication changes relating to the depression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January 20, 2004, Dr. Sperling noted that the plaintiff had gained a significant amount of weight which she attributed to a probable side effect of the anti-depressant medication and, more importantly, to the plaintiff's relative inactivity. The plaintiff did not advise Dr. Sperling about her position at MJM Furniture and her need to climb stairs and walk the floors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March 10, 2004, the plaintiff advised Dr. Sperling that surgery was being considered for the treatment of TOS. On July 7, 2004, the plaintiff advised that Dr. Fry was recommending she consider surgery to relieve her TOS symptoms and the plaintiff noted that neither steroid injections nor Botox injections had been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November 12, 2004, the plaintiff advised that she was working at a travel agency, working flexible hours and doing light work. However, the plaintiff felt that she was not very effective at doing sales over the phone, although the work would have been tolerable for her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Sperling subsequently received MRI reports dated December 17, 2004, that suggested the plaintiff's problems were not related to nerve root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June 22, 2005, the plaintiff advised that starting work at the bank part-time had increased her symptoms. On March 13, 2006, the plaintiff reported ongoing pain in her left arm and left hand, and noted she was having problems lifting with her left hand and that it felt heavy and weak.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cross-examination, Dr. Sperling agreed that she had not reviewed any of the plaintiff's pre-accident clinical records from other treating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Bozek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was referred to Dr. Bozek, a neurologist, by Dr. Sperling. Dr. Bozek did not testify at trial. In his reports to Dr. Sperling, dated July 25, 2001, Dr. Bozek indicated that the plaintiff was getting intermittent muscle spasm in the neck and shoulders, leading to some mild compression around her thoracic outlet. He found that hyper abduction manoeuvres obliterated the plaintiff's radial pulses bilaterally and that it produced symptoms of numbness and tingling on the left side. He noted that the plaintiff's situation was not dangerous and that she was not suffering nerve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subsequent follow up visit on October 24, 2001, indicated that the plaintiff still had a lot of discomfort and pain in the left side of her neck and lower back, but was getting some improvement with work and activity. He recommended an ongoing conservative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Fry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Fry gave evidence as an expert in vascular surgery, with particular expertise in the area of thoracic outlet syndrome. He provided an explanation of the various mechanisms by which TOS may occur, noting that the majority of cases are associated with whiplash or hyperextension injury. He also noted that the elevated arm stress test is the most useful test for TOS and that it is fairly typical in these patients to observe different results on different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was referred by Dr. Sperling to Dr. Fry, who first saw her on November 6, 2002. As the plaintiff was late for the appointment, Dr. Fry relied heavily on the records provided by Dr. Sperling in assessing the plaintiff's history. He noted that she was left hand dominant and that certain activities, including keyboarding, lifting, and brushing her hair, aggravated her symptoms, with numbness and tingling being worse in the thumb, second and third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Fry found the plaintiff to be asymptomatic to provocative tests for TOS on the right side, but he noted turbulence in the subclavian artery during the elevated arm stress test maneuver, and global numbness in the hand on the left side. He concluded that her symptoms were compatible with both vasculogenic and neurogenic TOS, but noted that the issue was complicated by the presence of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Fry saw the plaintiff again in August 2003, when she was working part-time at Sears. He noted that her symptoms had not changed from the time he originally assessed her. He noted that she appeared able to move without difficulty and was reasonably comfortable. She did not have apparent pain manifestations until she was put through provocative tests for TOS. She also reported that cortisone and local anesthetic injections performed by Dr. Dhawan did not lead to significant improvement in her condition, although she had not yet had Botox injections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Fry noted that the provocative tests for TOS seem to have exacerbated her neurological symptoms rather than the examination of her c-spine, which he thought was further evidence of TOS, and concluded that the TOS was the prime mover in producing her symptoms rather than her c-spine. His conclusion at that point was that Botox might be successful in treating her TOS. However, if the Botox treatment was not successful, then he was of the opinion that she might require decompression of her TOS by either scalenectomy or first rib resection (both surgical procedures). He estimated her chances of having surgery at that time to be 50/50.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Fry examined the plaintiff again on January 26, 2004, after she had had a Botox injection. He noted that this did not make a significant difference to her symptoms as she still had neurological symptoms in the thumb, index and middle finger. However, Dr. Fry did not detect a bruit or turbulence in the subclavian artery on performing the elevated arm stress test maneuver.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subsequent examination conducted on July 7, 2004, yielded positive provocative tests for TOS, with obliteration of the radial pulse during the elevated arm stress test, and the onset of numbness involving both upper and lower plexus distribution into her hand on the left side. Dr. Fry, on this occasion, noted that her hand did not become white, although he makes no mention of colouration in any of his previous examinations. He clarified that her hand must have gone white on a previous occasion for him to comment on it at this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Fry reviewed the records of Dr. Sandhu and Dr. Sam and, while uncertain of what these physicians thought of the underlying cause of the plaintiff's troubles in 1998 and 1999, concluded that these did not change his opinion. He also concluded that, given the failure of conservative techniques, surgery for first rib resection was indicated. He estimated that this would lead to a 60-70% improvement in her symptoms, although she would not achieve 100%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Fry found that the reports of other specialists involved in this case tended to confirm his findings of TOS, with c-spine disease as well (as confirmed by a CT scan of the cervical spine). He disagreed, and characterized as incorrect, Dr. Munro's view that TOS can only involve the C8 and T1 nerves, or strictly the lower plexus. He also disagreed with Dr. Munro that mild neck injury is unlikely to cause TOS, noting that even minor fender benders can cause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Fry also recommended obtaining a second opinion from Dr. Salvian or Dr. Nelems, as to which symptoms were likely to be relieved by a first rib resection, before dismissing surgery as an option. Dr. Fry agreed that litigation complicates the evaluation of symptoms in patients and that the clinical diagnosis of TOS is quite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Dhawan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Dhawan is a physiatrist who testified as an expert in physical medicine and rehabilitation, with particular expertise in chronic pain, including the treatment of TOS. He first saw the plaintiff on May 27, 2003, by way of referral from Dr. Sperling.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initial examination, Dr. Dhawan noted that the plaintiff was emotionally labile and that he did not notice any exaggerated pain behaviour. She had positive TOS maneuvers on the left with the hyper abduction maneuver, with disappearance of the left radial pulse and numbness in her left hand. However, Dr. Dhawan did not hear a subclavian bruit. At that examination, Dr. Dhawan injected her neck and shoulder with local anesthetic and steroid.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Dhawan saw the plaintiff for follow-up on August 5, 2003. The plaintiff still had significant pain in her left neck and shoulder, although there was improvement in the range of motion, with less tenderness and TOS symptoms. Her Adson's test was positive on the left side. He re-injected her shoulder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September 19, 2003, the plaintiff had better neck mobility. She was injected with steroid and anesthetic in her left shoulder. The plaintiff was injected with Botox in the left scalene muscles on November 6, 2003, and she was directed to take a week off work due to post-injection pain. Trigger point injections with local anesthetic were also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November 28, 2003, the plaintiff reported she was feeling better since the injection. Her TOS findings were negative, with a negative Adson's test and good pulse with hyper abduction. Dr. Dhawan noted that Botox effects are expected to peak after approximately three weeks; and to trail off until approximately three months after the injection. Local anesthetic and cortisone injections were again administered at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February 20, 2004, the plaintiff's circulation was better; however, she was still having left side pain and left shoulder pain. Dr. Dhawan was discouraged at the lack of substantial improvement with the Botox injection and discussed surgery with the plaintiff. Botox cannot be injected more frequently than at three month intervals and the plaintiff was unable to obtain funding to cover the expense of the drug. Dr. Dhawan suggested that she consider surgery. Dr. Dhawan clarified, while testifying, that the short-term relief due to the Botox helps to confirm the diagnosis of TOS. Steroids and anesthetic were again injected at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April 20, 2004, the plaintiff had positive Adson's maneuver, but no bruit was heard. Dr. Dhawan noted that the presence or absence of a bruit is of no real significance. Steroids and anesthetic were again injected. On September 13, 2004, the plaintiff reported feeling better and Dr. Dhawan reported that TOS surgery with Dr. Fry was still pending. Muscle injections were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January 18, 2005, the plaintiff reported that she was not seeing Dr. Fry as surgery was on hold and she was looking for a new job. Left arm thoracic outlet maneuvers were negative. The plaintiff had not been working up to this point, although she had applied for a job at CIBC. Dr. Dhawan confirmed that he had observed with other TOS patients a reduction in symptoms at times, depending on how much use of the arm or repetitive arm motion they were engaged in, and agreed that this could be because the plaintiff was not working. Dr. Dhawan also noted that since the plaintiff had made changes to her diet after being diagnosed as lactose intolerant, her bowel symptoms had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April 20, 2005, the plaintiff reported that she was working at CIBC. Her left shoulder and neck were tender and were re-injected. The plaintiff did not return for any follow up examinations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Dhawan next saw the plaintiff on November 6, 2006, for the purpose of preparing his report. The plaintiff reported tingling and numbness in the third and fourth fingers. The plaintiff reported being frustrated at not being able to do all the recreational activities she could before the accident, including air-chairing and water-skiing which she could not do because these were too hard on her arms. Adson's test was negative on the right and positive on the left. The hyper abduction manoeuvre caused a loss of pulse on the left side and numbness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Dhawan concluded that, by this point, the plaintiff had plateaued in her recovery and was unlikely to be free of pain. She would most likely require surgery for the TOS, although that might not completely remove her pain. Surgery might, however, improve her neurological function and ability to do overhead work. Dr. Dhawan also recommended counselling for both the plaintiff and her husband to help them deal with the plaintiff's decreased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pointed out, on cross-examination, that Dr. Dhawan had previous suspensions in Nova Scotia and British Columbia for professional misconduct. The Nova Scotia matter involved litigation in a personal injury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le Nobel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le Nobel was tendered as an expert physician, with a sub-specialty in physical medicine and rehabilitation. He saw the plaintiff on three occasions: April 10, 2003; April 1, 2004 and October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reviewed the plaintiff's history with her. Of interest, she told Dr. le Nobel that she had stopped attending therapy at the Canadian Back Institute at the recommendation of her family doctor, because personnel repeatedly applied hand palpitation pressure to her shoulder which aggravated her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physical examination, Dr. le Nobel noted that all movements of the plaintiff, except bending backwards, were restricted. He had no sense that she was exaggerating her symptoms or limitations. He agreed on cross-examination that his physical examination of the plaintiff revealed increased mobility on both subsequent visits in response to a number of different tests, although her movement remained constrained in other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performing the elevated arm test for TOS, Dr. le Nobel noted left-hand numbness and a vascular bruit over the subclavian artery on that side. On the right side, there was hand numbness, but no vascular bruit and no obliteration of the radial pulse on the right side. At the second and third examinations, numbness in the right hand did not occur. At the second examination, Dr. le Nobel was of the opinion that the plaintiff also had chronic symptomatic cervical spodylolysis, which could be contributing to upper limb numbness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the first visit, Dr. le Nobel suggested a combination of exercise and postural training maneuvers to help alleviate pressure on the plaintiff's nerves, hoping it would thereby lessen the numbness in her upper limbs and the likelihood of surgery. By October 7, 2003, he stated that surgery was likely more a probability than a possibility. In his second report dated April 19, 2004, he noted that surgery was likely to be of help with her upper limb symptoms, although he could not state with confidence that it would lead to improvement in her general condition overall, given the multiple areas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le Nobel also explained that the nerve injury could be more extensive than just the localized point relating to TOS, because the substantial forces from the accident would have been exerted across the whole length of the nerves. Therefore, surgery for TOS could potentially result in only some or no improvement, depending on the area of nerve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his report of May 31, 2004, Dr. le Nobel confirmed that Dr. Hirsh's opinion did not change his opinion and that he agreed with the occupational expert, Mr. Pakulak's, recommendations and assessment, finding them reasonable and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cross-examination, Dr. le Nobel agreed that he had been provided with the clinical records of Dr. Sam and of Dr. Sandhu in preparation for his second assessment. However, the plaintiff told him that she had not attended a chiropractor prior to the assessment and she did not inform Dr. le Nobel of her ski accidents. However, his conclusion in his report was that she had been healthy, symptom free, and functioning well with several jobs,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le Nobel also clarified, in response to an article quoted as authoritative by Dr. Salvian, that when conducting the raised arm test for TOS, it is the reproduction of symptoms rather than the obliteration of the pulse that is important in diagnosing TOS. He also agreed that patients with TOS can develop it years or weeks after the trauma and that it has been observed in individuals who engage in repetitive actions in their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Epstein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Epstein is a dentist, who provided a report based on his examination of the plaintiff on September 11, 2003. Dr. Epstien noted that he did not identify symptom magnification on his examination, based on control points and reference palpitation. He found that the plaintiff suffered from temporo-mandibular disorder ("TMJ") and that the primary impact of this was to contribute to her headaches. He recommended the use of an oral appliance, to reduce loading forces, and physical therapy directed towards the jaw. He expected that her jaw symptoms would lessen, as her neck and shoulder symptoms improved, and gave a guarded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At a follow up visit on October 19, 2003, Dr. Epstein noted that there had been improvement in the symptoms of TMJ that appeared to coincide with continuing treatment, including the use of Botox injections. Dr. Epstein again reviewed the plaintiff's condition on May 30, 2006. The plaintiff reported no overall change in complaints. Dr. Epstein concluded that chronic pain and dysfunction of the jaw was present, essentially unchanged from the plaintiff's previous visits. The use of an oral appliance, which the plaintiff had not obtained, was also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Epstein saw the plaintiff again on June 13, 2006 and July 24, 2006. At the latter visit, she reported reduced pressure in the face with the use of the oral appliance and being free of headaches the week before that visit (although she was on vacation at that time). Dr. Epstein reported that his diagnosis was essentially unchanged from 2003. He anticipated that her facial pain complaints would persist indefinitely, although more focused treatment of TMJ might be associated with some remission in the severity of complaints. He gave a poor prognosis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Lu is a psychiatrist, who was tendered as an expert in psychiatry. He examined the plaintiff at the request of her counsel. He examined her twice, the first time on September 3, 2004 and again on July 29,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Lu noted that the plaintiff did not appear to have suffered emotionally in the first month after the accident, meaning that she had not suffered from post-traumatic stress syndrome. However, her mood changed after she attempted to return to work at FedEx. He reviewed the history of her depression and its treatment. He noted she had not developed any psychotic symptoms, nor had she reported a complicated grief reaction to the death of her father. Dr. Lu noted from the plaintiff's medical history that Dr. le Nobel stated she had suffered from depression after the motor vehicle accident and before the loss of her father. He also noted that it was positive that she had been able to stop using alcohol when this was identified to her as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completed the Beck Depression Inventory, which indicated that she was suffering from mild depression. The plaintiff also met the DSM-IV diagnostic criteria for major depression. Dr. Lu concluded that her depression was a multi-dimensional illness, with pain, losses and life adjustment all playing significant roles. He was unable to determine, based on the plaintiff's medical history, whether major depression occurred before or after the death of her father. He noted that some degree of symptom magnification, in the context of major depression, would not be unexpected and that chronic pain increases psychopathology.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achieved a Global Assessment of Functioning score of 55, whereas normal would be in the range of 80-90. This means the plaintiff would likely have difficulty performing a full-time occupation. She could perform with some difficulty as a sales person, although the presence of chronic pain would decrease her overall functional capacity. Dr. Lu recommended individual psychotherapy to deal with issues of chronic pain, bereavement and disability. Overall, he gave the plaintiff a fair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average)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his updated report, Dr. Lu found the plaintiff to be about the same in terms of symptomatology. Family stresses had reduced, as her sister was now able to care for her niece. Dr. Lu found she was at high risk for a future relapse of depression due to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cross-examination, Dr. Lu agreed he had not been told of any previous accidents, although he had seen (but had not been able to read) Dr. Sandhu's illegible clinical notes. He stated that there was insufficient information in the plaintiff's medical history to determine whether she suffered depression before the loss of her father. He noted that she had told Dr. le Nobel she suffered from depression following the accident and prior to the loss of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Cameron gave evidence as a medical expert, with a specialty in the field of neurology. He saw the plaintiff on two occasions: November 10, 2004 and August 3, 2006. The plaintiff was referred to him by 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Cameron based his reports on the plaintiff's medical records following the accident and on his physical examination. He was also provided with Dr. Sperling's pre-accident medical records for the period February 9, 2000 to May 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Cameron determined that the plaintiff's neurological exam was normal on both visits. On the first visit, Dr. Cameron conducted an Adson's test, which was positive for the upper left arm. The Adson's test is a test which may be indicative of TOS, but TOS patients generally have a normal neurological examination. He testified that numbness or a tingling sensation in the fourth and fifth digits of the hand is also a symptom commonly associated with TOS, although other digits may be involved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Cameron concluded that the plaintiff was likely suffering from asymptomatic congenital TOS before the accident, which was rendered symptomatic on the left side by the trauma of the accident. This conclusion was based on the fact that vascular studies conducted on the plaintiff shortly after the accident, were abnormal on both sides. Dr. Cameron also testified that the plaintiff likely suffered exacerbation and prolongation of her symptoms due to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the second visit, August 3, 2006, the plaintiff informed Dr. Cameron that she had attempted to complete her legal secretary course after the first assessment, but that she could not complete the program because she could not perform the typing as it exacerbated the pain and stiffness in her left upper arm. He said that the plaintiff did not consider surgery to be an option at that time. Although Dr. Cameron did not conduct an Adson's test on the second visit, he said that even if such test had been negative, that would not have changed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cross-examination, Dr. Cameron agreed that he had not seen copies of the plaintiff's transcripts and that he did not know that her father had died. He also could not recall any significant pre-accident problems and did not recall reviewing pre-accident reports, although his report indicates that he considered the plaintiff's pre-accident medical records, including the clinical records of Dr. Sam, the plaintiff's chiropractor, for March 23 to April 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Cameron also agreed that there was a chance that the plaintiff could have developed TOS spontaneously, absent the accident, although this would have a low statistical probability of occurring. He also agreed that there was no evidence of any weakness in the plaintiff's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Salvian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Salvian testified as an expert in vascular surgery, with particular expertise in the diagnosis and treatment of TOS. He examined the plaintiff on November 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took a patient history by questioning the plaintiff, and did a complete physical examination. The plaintiff reported that she had not had problems prior to the accident and had not had any other major injuries. She noted that she had suffered an injured foot while sea-dooing.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Salvian does not appear to have been provided with a transcription of Dr. Sam's clinical records and, although he was provided with the plaintiff's prior medical history, he did not mention it in his report. In cross-examination, Dr. Salvian agreed that that was an important point, but that the episodes seem to have resolved with treatment. He did agree that the fact of coincidence of the plaintiff's complaints in 1998 and 1999 with her keyboarding classes could indicate that these activities caused her pain, but notes there were no symptoms of numbness that would indicate the existence of TOS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found the plaintiff to be tender over the brachial plexus on the left side, with palpitation causing radiation out into the arm and the third and fourth fingers. He noted that the plaintiff had no superficial venous distension or discolouration in her hands and that both hands were reasonably warm. Other tests confirmed that the compression in the nerves was occurring in the brachial plexus, which Dr. Salvian indicated was suggestive of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Salvian performed a number of different tests for TOS. The hyper-abduction test was positive, resulting in diminishment [sic] of pulse and the onset of symptoms. Dr. Salvian confirmed that the key aspect of this test is the reproduction of symptoms; that the presence of a bruit is not significant for diagnosing TOS. The Adson's test caused discomfort in the left neck and shoulder. Dr. Salvian indicated that this is not a positive test for TOS, but was not surprised at this result. He noted that the more reliable test for diagnosing TOS is the elevated arm stress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Salvian noted, from the Royal Columbian Hospital records, that the plaintiff had experienced transient tingling in her right arm, which indicated some compression or transient problem with the nerve. He also stated that, while the onset of numbness and tingling would generally occur a few weeks after trauma, it would not be unusual to develop symptoms a year later-it is usually after a patient begins to become active again that they begin to develop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Salvian commented on X-rays of the plaintiff's cervical spine. He agreed that these denote Para spinal neck muscle spasm that leads to an alteration in anatomy of the thoracic outlet. Dr. Salvian thought that the plaintiff was among those members of the population with an anatomical predisposition to TOS, as she had an obstructed artery on both sides, suggesting non-symptomatic TOS on her right side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With respect to the mechanism of TOS symptoms, Dr. Salvian noted that most patients present with numbness and tingling down the medial arm and into the fourth and fifth fingers of the hand; with the T1 and C8 nerves involved. These nerves are in the lower plexus. However, it is possible to get compression of the upper plexus, or nerves C5, C6, or C7, resulting in tingling in the thumb, index and long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Salvian's conclusion was that the plaintiff suffered from post-traumatic myogenic thoracic outlet syndrome, with intermittent compression of the subclavian artery and the brachial plexus. The distribution of numbness was consistent with the C7 nerve distribution. He could recommend little to improve the plaintiff's condition, except for surgery or a particular type of physiotherapy. He also recommended that she should avoid neck muscle spasm by avoiding overhead lifting, heavy lifting, or repetitive activities with her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With respect to TOS surgery, Dr. Salvian clarified that he recommends this option only where patients are unable to sleep well, or carry out the general activities of daily living, and whose quality of life is quite low. He noted that there is a risk of permanent paralysis of the hand as a result of the surgery, which has occurred in one of the 200 patients Dr. Salvian has operated on for TOS. He also noted that 20-30% of patients do not respond to the surgery. However, he agreed it would be reasonable for the plaintiff to consider surgery, as her symptoms were significant, and virtually all conservative therapy had failed. He also agreed that TOS was a prime component of the plaintiff's symptoms, although she had several symptoms such as back and neck pain which surgery would not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Salvian stated that a patient would need three and one-half to four and one-half weeks to recover from the surgery, but that it would take about six weeks before the patient was ready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With respect to the cause of TOS, Dr. Salvian cited an article noting that there are two major causes of TOS: neck trauma, due to accidents, and repetitive stress injuries. Dr. Salvian noted that the repetitive stress injuries that can cause TOS are severe, such as baseball pitchers or a person working in a factory for several years doing the same activity. He disagreed that the plaintiff's typing courses would have caused her TOS symptoms and noted that the onset of symptoms, coinciding with when she began to return to work, was more consistent with post-traumatic flexion-extension injury causing her TOS. Repetitive stress is something that occurs over longer periods than days or weeks. However, he agreed that an article he cited as authoritative said that repetitive stress injuries could be caused in occupations that require neck hyperextension and sudden neck stretching, including jobs involving keyboarding such as a secretary or data entry clerk, or a cashier or shelf-stocker. The literature appears to cite different percentages of TOS cases arising as a result of neck trauma suffered in an accident, being 21%, 40%, and 80% in three different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Salvian agreed that there is controversy in the medical community over neurogenic TOS and that there is no standard test to detect it, although there are a set of standardized criteria. He agreed that many other conditions must be excluded before concluding a patient had TOS. He disagreed that there are psychological phenomena that might mimic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Pakulak gave evidence for the plaintiff as an expert in occupational therapy, with particular emphasis on functional capacity evaluation and cost of care assessment. He assessed the plaintiff's functional capacity on both June 1, 2004 and October 23, 2006, and also provided a cost of future care report with the second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On both occasions, he concluded that the plaintiff was giving full effort and that there was no symptom exaggeration or magnification. Additionally, the plaintiff did not exhibit a positive response to tests designed to indicate false pain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At the first assessment, Mr. Pakulak considered that the plaintiff was suited to a sedentary to modified light level of activities, with restrictions on lifting, carrying, repetitive reaching, prolonged neck positioning, prolonged bending or stooping, and prolonged sitting and standing. She could not work at her previous occupations at Sears or FedEx, but he considered that she could work as a bank teller, which she had indicated she was applying to do. On cross-examination, counsel pointed out that this was inconsistent with Dr. Sperling's report to the Canada Pension Plan, that the plaintiff was totally disabled, which was completed just one day after this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At the second assessment, the plaintiff showed some improvement. Mr. Pakulak considered that her maximum capacity was for light duties, with limitations specific to prolonged and repetitive overhead work. While both bank teller and legal secretary are classified as requiring a sedentary level of strength, Mr. Pakulak did not engage in any type of keyboarding testing which would indicate whether the plaintiff would be unable to type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Based on his functional assessment and the medical opinions, Mr. Pakulak made a number of recommendations regarding the cost of future care for the plaintiff, in his report dated November 8, 2006. These may be summarized as follows:</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sessions - three sessions per week for eight weeks at $45 per session, followed by periodic treatment to assist with pain management during flare ups (fifteen sessions per year at $45 per session).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sessions - weekly for eight weeks, followed by periodic treatment ten times per year to assist with pain management during flare-ups, all at $50 per session.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 marital counselling, six sessions at a cost of $150 per hour.</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for depression - may be required in the future, although Mr. Pakulak could not suggest a specific provision for ongoing counselling.</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 exercise program - no amount is claimed for this, as the plaintiff would have maintained her gym memberships anyway.</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Heavier weekly homemaking assistance - four hours per week at $20 per hour.</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Heavier seasonal cleaning - eight hours twice yearly at $20 per hour.</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Full-time nanny for the first two years of each of her children's lives at a cost of $1,500 per month. Mr. Pakulak agreed that if the plaintiff returned to work, the need for daycare services would reduce the amount of nanny assistance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Pakulak also recommended a number of ergonomic devices to assist the plaintiff in performing daily tasks, including a lightweight vacuum, long reach duster, standup dustpan and brush, long reach bathroom cleaner and replacement heads, memory foam mattress and memory foam pillow. He also provided cost estimates for the medications the plaintiff had been taking prior to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cross-examination, Mr. Pakulak explained that his estimate of a full time nanny to provide childcare is not based on a medical need, but on his functional assessment of the plaintiff. For her own safety and that of her children, he feels she will need extensive assistance with childcare.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Carson gave evidence for the plaintiff as an expert economist. He provided estimates of the plaintiff's past and future wage loss, based on statistical earnings for B.C. females from the 2001 census. His analysis will be discussed in greater detail below. He also provided estimates as to the present future cost of various items recommended by Mr. Pakulak in relation to the plaintiff's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Arthur gave evidence for the defendants as a qualified orthopedic surgeon. He saw the plaintiff on August 24,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the time of this examination, the plaintiff reported that her neck pain could radiate down the arms when it was bad, but generally her arms and forearm did not give her much trouble. Dr. Arthur noted that the plaintiff had no numbness or tingling at that time, although he agreed on cross-examination that complaints of pain radiating into the arms was not inconsistent with the later diagnosis of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Arthur found some limitations in her range of movement and diffused tenderness in her back and shoulders. He concluded that there was no objective finding on the examination, in that most of the findings were based on the subjective responses of the plaintiff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her reports of pain) and that the complaints did not require further investigation, nor would surgery play a role in her treatment. The complaints were best described as soft tissue in nature and were reasonably related to the accident. The plaintiff reported no previous surgical procedures or medical illnesses of note to Dr.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Arthur concluded that the plaintiff would likely benefit from a rehabilitation program, such as that at the Canadian Back Institute, and that if she did so, she would be capable of returning to her sales position at Sears and some duties at FedEx after four to six weeks. He stated that her prognosis was quite good and that she would recover from her complaints. He agreed on cross-examination that if the plaintiff were still injured six years later, he would change the prognosis from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By addendum dated January 2, 2001, Dr. Arthur indicated that he had reviewed the plaintiff's physiotherapy records and the records from the Canadian Back Institute, as well as job descriptions of the plaintiff's positions at both Sears and FedEx. He stated that as her positions did not require heavy lifting, the plaintiff could return to both her positions, which he described as sedentary in nature with perhaps some very light lifting duties, which allowed the plaintiff the opportunity to change her position frequently. On cross-examination, Dr. Arthur agreed that if heavier lifting were involved, that would change his opinion and that the plaintiff would have trouble controlling her complaints if she were in a job where she could not change position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Arthur did find it unusual that the plaintiff would attempt to ski with her injuries, particularly if she were a novice, but agreed on cross-examination that skiing is a form of exercise. After reviewing further medical reports, including that of Dr. Bozek, Dr. Arthur concluded that the plaintiff's complaints were mild and intermittent in nature, and that he could not see why she was not capable of returning to her previous employment. Although not an expert in TOS, he agreed with Dr. Bozek that a conservative approach in this situation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Munro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Munro gave evidence as a thoracic and cardiac surgeon, with an expertise in TOS. He was retained by the defendant and agreed that he typically acts for defendants. He examined the plaintiff on September 10,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On examination, he found the plaintiff to have no muscle wasting in her arms, although her hand grip was slightly impaired on both sides. On the left side, there was give way weakness, both moving the arm towards and away from the side. Both the Adson's test and the costoclavicular test were normal on both sides, but there was numbness over the left lower scapula. The hyper abduction test on the right side was normal, but on the left side was limited to 110 degrees due to tightness in her arm, although the pulse was normal at this position. The elevated arm stress test was normal for the first quarter minute on the right. It was abandoned after 15 seconds on the left side due to pain in the whole of the shoulder region and the hand. The left radial pulse was normal in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Munro concluded that the plaintiff suffered a minor soft tissue injury of the neck. He partly relied on the fact that no X-rays were taken at the time of the injury in reaching this conclusion. He suggests that the Canadian Back Institute records showing 50% range of movement in the neck on formal testing, but full rotation when not being tested, indicates that the injury had recovered by five months after the accident. Dr. Munro noted that the plaintiff's pain, which she reported at a level of 9 out of 10, is not compatible with mild neck injury or the ability to work part-time at Sears.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Munro concluded that the plaintiff was likely not suffering from post-traumatic TOS. His reasons were, first, that TOS is unlikely to occur after a mild, or at most moderate, neck injury and, second, the plaintiff reported constant shooting pain in the entirety of her left arm, forearm, hand and all digits. In TOS, he testified that pain is intermittent and in the area supplied by C8 and T1 only, as is the numbness and tingling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in the fourth and fifth fingers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key point of contention between Dr. Munro and all of the other experts was his position that, due to the physiology of the body, the only fingers which should exhibit neurologic symptoms in TOS are the fourth and fifth fingers. Dr. Munro's basis for this conclusion seemed to be that, in his experience, he had never seen the upper plexus involved in TOS and, therefore, pain should be on the bottom side of the arm radiating into the last two fingers only. This is despite the fact that much of the literature and the evidence of Drs. Fry and Salvian, suggests that there may be involvement of both the upper and lower plexus in TOS, which means that numbness may be experienced in other fingers as well. Dr. Munro counters that involvement of the upper plexus has never been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Finally, Dr. Munro opined that the pain distribution reported by the plaintiff in her left neck and shoulder was not considered to be a distribution compatible with the localized tenderness over the brachial plexus that would be expected in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Munro also noted in cross-examination that he disagrees that the scalene muscles are involved in causing TOS; and he does not agree that the fact that symptoms are relieved by injections into the scalene muscles means that they are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Munro concluded there was strong evidence that the plaintiff was suffering from non-organic disease, which he describes as a disease that cannot be explained on the scientific bases of medicine, such as anatomy and physiology. This conclusion was based on the plaintiff's inconsistent results of her degree of mobility and also her reporting pain at a 9 out of 10 level on a continuous basis, which all of the doctors agreed meant she would essentially be hospitalized due to pain. Dr. Munro considered that, in light of his findings, the finding by the Canadian Back Institute that two out of five tests showing non-organic causes of symptoms in the plaintiff were positive (which they considered to be not significant), was likely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On reviewing the reports of several other experts and the plaintiff's X-ray, CT scan and MRI, Dr. Munro stated that his opinion remained that the plaintiff had suffered mild to, at most, moderate neck injury, did not have any spinal abnormalities which should cause symptoms of the reported severity, and did not have TOS. Dr. Munro also noted that he had not been told about the plaintiff's pre-accident back and shoulder complaints; and that this was important information that would have been part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Hirsch gave evidence for the defendants as a physiatrist-a specialist in physical medicine and rehabilitation. He examined the plaintiff on November 27, 2003. The plaintiff told Dr. Hirsch that she did not have any previous injuries, although she did have a kink in her neck which resolved after three chiropractic spinal adjustments. Dr. Hirsch took an extensive history of the plaintiff's previous complaints and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regard to her present complaints, Dr. Hirsch noted that the plaintiff's pain rating for that day, of 9 out of 10, was not congruent with the plaintiff's displayed behaviour. She reported constant numbness and tingling involving the entire upper arm, forearm, hand and fingers, with the middle finger being more involved. She stated the strength of her left arm was diminished from the shoulder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Hirsch considered that small disc herniations, revealed in the CT scan, were probably not clinically significant as they are reported to be found in people of comparable age with no complaint of pain. He stated that it was not possible to conclude either that these disc herniations are responsible for the plaintiff's reported neck and shoulder pain, or that they were causally related to the motor vehicle accident. Dr. Hirsch concluded that the plaintiff's neck and shoulder girdle symptoms were probably, in part, myofascial (muscular) in origin and that TOS remained a diagnostic possibility. On his examination, the plaintiff reported numbness and tingling on the elevated arm stress test, although Dr. Hirsch noted that it was in an unusual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Hirsch commented that some inconsistencies were observed in his clinical assessment, which could be explained by an unconscious behavioural response, possibly with a volitional component. In his direct examination he expanded upon this, explaining that he found that three of the five Waddell signs were positive. He also concluded that the plaintiff's functional limitations were dictated by her pain, which is a subjective experience. He noted that the question was, therefore, whether Ms. Naidu was a credible historian, although he offered no conclusion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 also noted that the plaintiff appeared to exhibit selective healing properties, as she appeared to recover quickly and completely from the injuries suffered in her ski accident, while she had made no symptomatic improvements with respect to her lower back pain since the motor vehicle accident, more than three years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Hirsch concluded that the plaintiff was capable of working in a sedentary, semi-sedentary, or light physically demanding occupation. However, she may be restricted in tasks involving repetitive reaching at or above shoulder height, or sustained positioning of the left arm away from the trunk without support. He also concluded she was capable of performing the majority of domestic chores and reasonable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regard to future therapies, Dr. Hirsch suggested she continue with her exercise program and that she might benefit from aqua exercises or yoga as well. He also noted that she might benefit from supportive psychotherapy, to provide pain management and coping strategies. Dr. Hirsch did not recommend surgery for a first rib resection while litigation was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Hirsch had the opportunity to review the videotaped footage of the plaintiff engaging in various activities. He noted that she appeared to be using her left hand, including during work-related tasks, with no evidence of her favouring her left arm. He found that her reported statements did not correspond with the behaviours observed on the video tapes.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Hirsch also noted that Botox injections should be done under EMG guidance, to be certain that the injection is into the correct muscle. He also noted that the plaintiff reported to Dr. Dhawan, on November 28, 2003, that she was feeling better after the Botox injections, while she reported one day earlier to Dr. Hirsch that she felt worse after the Botox injections. Dr. Hirsch noted that, while Botox injections might not necessarily help a patient, they should not make the patient feel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 - The Plaintiff's Failure to Call Her Relatives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defendants submit that the Court should draw an adverse inference against the plaintiff due to her failure to call her mother and other relatives as witnesses. The plaintiff was living at home with her mother and sister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defendants rely on </w:t>
      </w:r>
      <w:r>
        <w:rPr>
          <w:rFonts w:ascii="arial" w:eastAsia="arial" w:hAnsi="arial" w:cs="arial"/>
          <w:b/>
          <w:i/>
          <w:color w:val="000000"/>
          <w:sz w:val="20"/>
          <w:lang w:val="en-US" w:eastAsia="en-US" w:bidi="ar-SA"/>
        </w:rPr>
        <w:t>Barker v. McQuahe</w:t>
      </w:r>
      <w:r>
        <w:rPr>
          <w:rFonts w:ascii="arial" w:eastAsia="arial" w:hAnsi="arial" w:cs="arial"/>
          <w:color w:val="000000"/>
          <w:sz w:val="20"/>
          <w:lang w:val="en-US" w:eastAsia="en-US" w:bidi="ar-SA"/>
        </w:rPr>
        <w:t xml:space="preserve"> (1964), 49 W.W.R. 685 (B.C.C.A.), in which an adverse inference was drawn from the plaintiff's failure to call certain doctors who had examined him (see particularly paras. 12-13). However, they also note that the Court is not bound to draw an adverse inference from a failure to testify: </w:t>
      </w:r>
      <w:r>
        <w:rPr>
          <w:rFonts w:ascii="arial" w:eastAsia="arial" w:hAnsi="arial" w:cs="arial"/>
          <w:b/>
          <w:i/>
          <w:color w:val="000000"/>
          <w:sz w:val="20"/>
          <w:lang w:val="en-US" w:eastAsia="en-US" w:bidi="ar-SA"/>
        </w:rPr>
        <w:t>Weeks v. Baloniak</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(2005), 210 B.C.A.C. 315</w:t>
        </w:r>
      </w:hyperlink>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2005 BCCA 193</w:t>
        </w:r>
      </w:hyperlink>
      <w:r>
        <w:rPr>
          <w:rFonts w:ascii="arial" w:eastAsia="arial" w:hAnsi="arial" w:cs="arial"/>
          <w:color w:val="000000"/>
          <w:sz w:val="20"/>
          <w:lang w:val="en-US" w:eastAsia="en-US" w:bidi="ar-SA"/>
        </w:rPr>
        <w:t xml:space="preserve"> at para. 13 (although an adverse inference was drawn by the Court of Appeal in that case from the failure of one of the parties to testify). For example, the failure of a witness to testify may be explained by the party showing circumstances that prevent him from calling the witness (see </w:t>
      </w:r>
      <w:r>
        <w:rPr>
          <w:rFonts w:ascii="arial" w:eastAsia="arial" w:hAnsi="arial" w:cs="arial"/>
          <w:i/>
          <w:color w:val="000000"/>
          <w:sz w:val="20"/>
          <w:lang w:val="en-US" w:eastAsia="en-US" w:bidi="ar-SA"/>
        </w:rPr>
        <w:t xml:space="preserve">e.g. </w:t>
      </w:r>
      <w:r>
        <w:rPr>
          <w:rFonts w:ascii="arial" w:eastAsia="arial" w:hAnsi="arial" w:cs="arial"/>
          <w:b/>
          <w:i/>
          <w:color w:val="000000"/>
          <w:sz w:val="20"/>
          <w:lang w:val="en-US" w:eastAsia="en-US" w:bidi="ar-SA"/>
        </w:rPr>
        <w:t>Murray v. Saskatoon</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[1952] 2 D.L.R. 499</w:t>
        </w:r>
      </w:hyperlink>
      <w:r>
        <w:rPr>
          <w:rFonts w:ascii="arial" w:eastAsia="arial" w:hAnsi="arial" w:cs="arial"/>
          <w:color w:val="000000"/>
          <w:sz w:val="20"/>
          <w:lang w:val="en-US" w:eastAsia="en-US" w:bidi="ar-SA"/>
        </w:rPr>
        <w:t xml:space="preserve"> at 506 (Sask. C.A.)); or it may be unnecessary to call the witness because the witness was examined for discovery and that evidence is, therefore, before the court (see </w:t>
      </w:r>
      <w:r>
        <w:rPr>
          <w:rFonts w:ascii="arial" w:eastAsia="arial" w:hAnsi="arial" w:cs="arial"/>
          <w:i/>
          <w:color w:val="000000"/>
          <w:sz w:val="20"/>
          <w:lang w:val="en-US" w:eastAsia="en-US" w:bidi="ar-SA"/>
        </w:rPr>
        <w:t xml:space="preserve">e.g. </w:t>
      </w:r>
      <w:r>
        <w:rPr>
          <w:rFonts w:ascii="arial" w:eastAsia="arial" w:hAnsi="arial" w:cs="arial"/>
          <w:b/>
          <w:i/>
          <w:color w:val="000000"/>
          <w:sz w:val="20"/>
          <w:lang w:val="en-US" w:eastAsia="en-US" w:bidi="ar-SA"/>
        </w:rPr>
        <w:t>Co-operative Fisheries Ltd. v. Canadian Imperial Bank of Commerce</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(1970), 7 D.L.R. (3d) 610</w:t>
        </w:r>
      </w:hyperlink>
      <w:r>
        <w:rPr>
          <w:rFonts w:ascii="arial" w:eastAsia="arial" w:hAnsi="arial" w:cs="arial"/>
          <w:color w:val="000000"/>
          <w:sz w:val="20"/>
          <w:lang w:val="en-US" w:eastAsia="en-US" w:bidi="ar-SA"/>
        </w:rPr>
        <w:t xml:space="preserve"> at 620 (Sask.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 counters that she called several lay witnesses regarding her injuries and disabilities and that calling further witnesses on these issues would only lengthen the trial. Further, there was nothing preventing the defendants from calling the plaintiff's relatives as part of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this case, I agree with the plaintiff that no adverse inference should be drawn. There is no indication that the plaintiff's relatives were the only persons who could give evidence as to her injuries or level of disability. That evidence was put before the Court by numerous other witnesses. These are not circumstances that cry out for the plaintiff's relatives to provide evidence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Injuries Did the Plaintiff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this case, I find that the plaintiff has proven that she suffers from TOS. I reject the evidence of Dr. Munro almost in its entirety and, particularly, I reject his emphatic position that only the fourth and fifth fingers should experience numbness and tingling in TOS. There seems to be no support for such a position among the other doctors or in the scientific literature. All the other experts were either of the view that the plaintiff suffered from TOS, or that her symptoms could be consistent with a diagnosis of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also find that the plaintiff suffered from soft tissue injuries (and the defendants do not really disagree with this). However, I also find that these injuries were not as severe as the plaintiff's testimony and reports to her medical practitioners would suggest and, specifically, that they did not persist for as long as she reports they did. There are several reasons why I reach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First, the records of CBI, Dr. Munro's and Dr. Hirsch's examinations are suggestive of non-organic disease. This suggests that the plaintiff was overplaying her limitations. While the other doctors felt that the plaintiff was giving a good effort, I cannot ignore this evidence, particularly in light of the plaintiff's inconsistent reporting of her symptoms over time, including while being under oath. The most apparent troubling difference is the significant discrepancy in the reporting of the plaintiff's condition to Dr. Dhawan on November 28, 2003 (feeling better since Botox injection and negative TOS findings) with what she told Dr. Hirsch one day earlier on November 27, 2003 (pain rating 9 out of 10; constant tingling in entire upper arm, forearm, hand and fingers; diminished strength in left arm; numbness and tingling developing on elevated arm stress test, although in an unusual position; 3 out of 5 Waddell signs for non-organic disease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No explanation for this very large discrepancy was provided and Dr. Hirsch's opinion was that psychological factors, possibly intentional, were behind her responses to his testing. Obviously, this discrepancy makes it difficult for the Court to ascribe much weight to the plaintiff's reports of her own symptoms and it seriously undermines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Second, the plaintiff reported her pain as being consistently 9 out of 10, which all of the experts agreed was not possible. Thus, her subjective perception of pain is significantly higher than her objective condition suggests. The video evidence, while inconclusive as to the extent of the plaintiff's injuries, does demonstrate that she was able to engage in certain work-related activities without obvious pain-related behaviours. She also appeared to heal quite rapidly from back injuries suffered while skiing, while injuries suffered from the accident apparently continued unabated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Third, the plaintiff's actions do not demonstrate a genuine desire to improve her condition. Her spotty attendance record at the Canadian Back Institute and her clearly false explanation for her failure to attend, further demonstrate that engaging in therapy that would assist her recovery was not a priority for the plaintiff. She also did not obtain an oral appliance when told to do so, nor did she undergo surgery even though she was frustrated that conservative treatment did not improve her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Finally, the plaintiff's described holidays and recreational activities are inconsistent with someone suffering from debilitating pain. She reports problems in her relationship, yet she went on to marry Mr. Svarovsky. Mr. Svarovsky complains that she cannot engage in recreational activities, yet he gave her a Sea-Doo for a wedding present and took her skiing-both of which would appear to be unsuitable activities for someone with a serious back injury. Finally, the plaintiff reports being unable to work, being short of money and unable to afford various therapies, yet she took several vacations in 2003, purchased a home with a significant down payment and, in 2005, was driving a Mercedes SUV. The plaintiff's actions demonstrated that enjoying herself and meeting her life's goals were more important than recovering from her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also find that the plaintiff suffered from TMJ, headaches, and difficulty sleeping after the accident, as well as suffering bowel complaints and a reduced sex drive. However, the temporal duration of these symptoms is somewhat suspect, on the basis of the plaintiff's conflicting statements, and I conclude these symptoms did not persist for as long as or with the intensity reported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Overall, I have concluded that the plaintiff's evidence is not sufficient to prove, on a balance of probabilities, that she suffered the degree of impairment she alleges. I have reached my conclusions after weighing all of the conflicting evidence, based in large measure on my assessment of the plaintiff's credibility. The expert medical opinion evidence presents wildly differing views as to the plaintiff's true condition and abilities. With the exceptions of Dr. Dhawan, whose credibility relating to litigious matters is somewhat suspect, and Dr. Munro, who was clearly obstinate in his opinion, there is little reason to prefer one expert over the others. In regard to the plaintiff, she seems eager to remember or experience whatever she thinks will help her case. Her approach to therapy centred on what ICBC would pay for, rather than what would help her to regain full function. I have rejected that she lacked financial means to take at least some steps to ameliorate her condition. It is through this lens that the evidence has been evaluated.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this case, the plaintiff did not inform the various experts that she had experienced previous problems with pain in her back and neck in 1998 and 1999, before the accident. The defendants, therefore, submit that she has not met the burden of proving causation in this case because she may well have had an underlying predisposition to TOS; and her TOS may have been caused by repetitive strain injuries rather than by the trauma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this regard, the defendants cite several cases. The defendants submit that in this case the plaintiff must demonstrate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her injury would not occur. The applicability of the "but for" test, as the general test for causation, was recently affirmed by the Supreme Court of Canada in </w:t>
      </w:r>
      <w:r>
        <w:rPr>
          <w:rFonts w:ascii="arial" w:eastAsia="arial" w:hAnsi="arial" w:cs="arial"/>
          <w:b/>
          <w:i/>
          <w:color w:val="000000"/>
          <w:sz w:val="20"/>
          <w:lang w:val="en-US" w:eastAsia="en-US" w:bidi="ar-SA"/>
        </w:rPr>
        <w:t>Hanke v. Resurfice Corp.</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(2007), 278 D.L.R. (4th) 643</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The significance of that decision was recently discussed in another case involving TOS, </w:t>
      </w:r>
      <w:r>
        <w:rPr>
          <w:rFonts w:ascii="arial" w:eastAsia="arial" w:hAnsi="arial" w:cs="arial"/>
          <w:b/>
          <w:i/>
          <w:color w:val="000000"/>
          <w:sz w:val="20"/>
          <w:lang w:val="en-US" w:eastAsia="en-US" w:bidi="ar-SA"/>
        </w:rPr>
        <w:t>Durand v. Bolt</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At paras. 40-41 in that case, Davies J. quoted from the decisions of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Supreme Court of Canada stated at p. 466: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recently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[2007] S.C.J. No. 7</w:t>
        </w:r>
      </w:hyperlink>
      <w:r>
        <w:rPr>
          <w:rFonts w:ascii="arial" w:eastAsia="arial" w:hAnsi="arial" w:cs="arial"/>
          <w:color w:val="000000"/>
          <w:sz w:val="20"/>
          <w:lang w:val="en-US" w:eastAsia="en-US" w:bidi="ar-SA"/>
        </w:rPr>
        <w:t>, the Supreme Court of Canada revisited the issue of causation and stated at para. 19 to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defendants emphasize that in assessing causation, an accurate medical history, as it relates to pre-existing complaints, is critical and the absence of an accurate medical history means that an expert opinion will be of limited assistance: see </w:t>
      </w:r>
      <w:r>
        <w:rPr>
          <w:rFonts w:ascii="arial" w:eastAsia="arial" w:hAnsi="arial" w:cs="arial"/>
          <w:i/>
          <w:color w:val="000000"/>
          <w:sz w:val="20"/>
          <w:lang w:val="en-US" w:eastAsia="en-US" w:bidi="ar-SA"/>
        </w:rPr>
        <w:t xml:space="preserve">e.g. </w:t>
      </w:r>
      <w:r>
        <w:rPr>
          <w:rFonts w:ascii="arial" w:eastAsia="arial" w:hAnsi="arial" w:cs="arial"/>
          <w:b/>
          <w:i/>
          <w:color w:val="000000"/>
          <w:sz w:val="20"/>
          <w:lang w:val="en-US" w:eastAsia="en-US" w:bidi="ar-SA"/>
        </w:rPr>
        <w:t>Butterfield v. Choufour</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2005 BCSC 179</w:t>
        </w:r>
      </w:hyperlink>
      <w:r>
        <w:rPr>
          <w:rFonts w:ascii="arial" w:eastAsia="arial" w:hAnsi="arial" w:cs="arial"/>
          <w:color w:val="000000"/>
          <w:sz w:val="20"/>
          <w:lang w:val="en-US" w:eastAsia="en-US" w:bidi="ar-SA"/>
        </w:rPr>
        <w:t xml:space="preserve"> at para. 18; </w:t>
      </w:r>
      <w:r>
        <w:rPr>
          <w:rFonts w:ascii="arial" w:eastAsia="arial" w:hAnsi="arial" w:cs="arial"/>
          <w:b/>
          <w:i/>
          <w:color w:val="000000"/>
          <w:sz w:val="20"/>
          <w:lang w:val="en-US" w:eastAsia="en-US" w:bidi="ar-SA"/>
        </w:rPr>
        <w:t>Repole v. Bakker</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2007 BCSC 592</w:t>
        </w:r>
      </w:hyperlink>
      <w:r>
        <w:rPr>
          <w:rFonts w:ascii="arial" w:eastAsia="arial" w:hAnsi="arial" w:cs="arial"/>
          <w:color w:val="000000"/>
          <w:sz w:val="20"/>
          <w:lang w:val="en-US" w:eastAsia="en-US" w:bidi="ar-SA"/>
        </w:rPr>
        <w:t xml:space="preserve"> at paras. 144-149; </w:t>
      </w:r>
      <w:r>
        <w:rPr>
          <w:rFonts w:ascii="arial" w:eastAsia="arial" w:hAnsi="arial" w:cs="arial"/>
          <w:b/>
          <w:i/>
          <w:color w:val="000000"/>
          <w:sz w:val="20"/>
          <w:lang w:val="en-US" w:eastAsia="en-US" w:bidi="ar-SA"/>
        </w:rPr>
        <w:t>Hoskin v. Trisevic</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(2002), 4 B.C.L.R. (4th) 91</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2002 BCSC 903</w:t>
        </w:r>
      </w:hyperlink>
      <w:r>
        <w:rPr>
          <w:rFonts w:ascii="arial" w:eastAsia="arial" w:hAnsi="arial" w:cs="arial"/>
          <w:color w:val="000000"/>
          <w:sz w:val="20"/>
          <w:lang w:val="en-US" w:eastAsia="en-US" w:bidi="ar-SA"/>
        </w:rPr>
        <w:t xml:space="preserve"> at para. 66. Additionally, the fact that pain arose after an accident, but was absent before, does not necessarily prove that the accident caused the pain: see </w:t>
      </w:r>
      <w:r>
        <w:rPr>
          <w:rFonts w:ascii="arial" w:eastAsia="arial" w:hAnsi="arial" w:cs="arial"/>
          <w:i/>
          <w:color w:val="000000"/>
          <w:sz w:val="20"/>
          <w:lang w:val="en-US" w:eastAsia="en-US" w:bidi="ar-SA"/>
        </w:rPr>
        <w:t xml:space="preserve">e.g.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this case, I have concluded that the accident was the cause of the plaintiff's injuries and that, but for the accident, she would not have suffered from TOS or many of her other symptoms. The expert evidence clearly establishes that the appearance of TOS is highly correlated with trauma, particularly that caused by accidents such as the one experienced by the plaintiff. There is no evidence that the plaintiff suffered from any form of neurogenic symptoms prior to the accident, nor was she experiencing neck and back pain, nor TMJ,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do find, based on the expert evidence, that the plaintiff had a predisposition to TOS. This does not affect the causation analysis as, even with this predisposition, I find that the accident materially contributed to the development of the plaintiff's TOS. While the TOS did not appear until the plaintiff made a concerted effort to return to work, the medical evidence, which I accept, establishes that this delayed onset of symptoms is not unusual in TOS. However, the plaintiff's predisposition to developing TOS is still relevant to the assessment of her damages, as it reduces the probability that she could have successfully pursued a career as a legal secretary.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With respect to the soft tissue injuries, the defendants do not really dispute that the accident caused the plaintiff's soft tissue injuries. However, they disagree that these injuries persisted as long as the plaintiff reports. These soft tissue injuries caused the plaintiff to suffer headaches, TMJ and sleep disturbance. The medications the plaintiff was on contributed to her bowel problems and sexual dysfunction, although her lactose intolerance may well have played a significant role in her bowel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also find that the plaintiff's depression was largely caused by the accident and her resulting condition. While the loss of her father was a complicating factor, Dr. Lu's evidence establishes that the plaintiff experienced a relatively normal grief reaction, from which she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more difficult questions in this case are the temporal duration of the effects of the plaintiff's injuries and whether she should have mitigated her damages by undergoing surgery to alleviate the symptoms of her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defendants contend that, in this case, the plaintiff has failed to mitigate her damages by delaying surgery, which is very safe, and would have a high probability of alleviating her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application of the concept of mitigation to personal injury cases was stated by Rowles J.A., writing for a majority of the Court of Appeal in </w:t>
      </w:r>
      <w:r>
        <w:rPr>
          <w:rFonts w:ascii="arial" w:eastAsia="arial" w:hAnsi="arial" w:cs="arial"/>
          <w:b/>
          <w:i/>
          <w:color w:val="000000"/>
          <w:sz w:val="20"/>
          <w:lang w:val="en-US" w:eastAsia="en-US" w:bidi="ar-SA"/>
        </w:rPr>
        <w:t>Graham v. Rodgers</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(2001), 90 B.C.L.R. (3d) 69</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at para. 35, leave to appeal to S.C.C. dismissed, </w:t>
      </w:r>
      <w:hyperlink r:id="rId430"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Mitigation goes to limit recovery based on an unreasonable failure of the injured party to take reasonable steps to limit his or her loss. A plaintiff in a personal injury action has a positive duty to mitigate but if a defendant's position is that a plaintiff could reasonably have avoided some part of the loss, the defendant bears the onus of proof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onus is on the defendants to prove both that the plaintiff acted unreasonably in failing to obtain the recommended treatment, and the extent to which the plaintiff's damages would have been reduced had she acted reasonably: </w:t>
      </w:r>
      <w:r>
        <w:rPr>
          <w:rFonts w:ascii="arial" w:eastAsia="arial" w:hAnsi="arial" w:cs="arial"/>
          <w:b/>
          <w:i/>
          <w:color w:val="000000"/>
          <w:sz w:val="20"/>
          <w:lang w:val="en-US" w:eastAsia="en-US" w:bidi="ar-SA"/>
        </w:rPr>
        <w:t>Chiu v. Chiu</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issue of whether a plaintiff's refusal to undergo surgery to correct injuries will amount to a failure to mitigate was discussed by the Supreme Court of Canada in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16 D.L.R. (4th) 1</w:t>
        </w:r>
      </w:hyperlink>
      <w:r>
        <w:rPr>
          <w:rFonts w:ascii="arial" w:eastAsia="arial" w:hAnsi="arial" w:cs="arial"/>
          <w:color w:val="000000"/>
          <w:sz w:val="20"/>
          <w:lang w:val="en-US" w:eastAsia="en-US" w:bidi="ar-SA"/>
        </w:rPr>
        <w:t>. In that case, the plaintiff was injured in a motor vehicle accident, suffering back injuries which made it impossible for him to work. Surgery to correct the back problem would have had a 70% chance of success and, if successful, would have resulted in nearly 100% recovery, so that the plaintiff could return to his original occupation. However, the plaintiff refused to undergo the procedure unless he could be assured of a 100% chance of success. The trial judge found that his refusal to undergo the recommended surgery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the issue of determining whether a plaintiff's refusal to undergo surgery is unreasonable in the face of differing medical opinions, Wilson J., writing for the Court, noted at paras. 27-31 that the plaintiff should be considered to have acted reasonably, provided that he follows any one of several courses of treatment recommended by his medical advisors. Among the factors to be considered in determining reasonableness, a court should consider the degree of risk to the plaintiff of the surgery, the gravity of the consequences of refusing it and the potential benefits to be derived from it. The onus of proving a failure to mitigate is on the defendant. The approach to valuing the consequences of a failure to mitigate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to determine what damages are avoidable by assuming that the plaintiff has agreed to an operation which has not yet been performed ... the courts would normally take account of any "substantial possibility" of failure and the amount by which full compensation would be discounted -- in this case 70 per cent -- would represent his avoidable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plaintiff's damages are, therefore, to be discounted by the amount of the plaintiff's avoidable loss, as assessed by the prospective likelihood that the surgery would be successful in ameliorating his 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argues that she acted reasonably in delaying surgery: treatments with Dr. Dhawan were ongoing through 2004 and into 2005. She was unemployed and looking for full-time work at that time because of her financial situation. She started with CIBC full-time in 2005 and transferred to Surrey in 2006. In July 2006, she discovered she was pregnant. However, the plaintiff agrees that surgery is the only option and she intends to proceed with the surgery after the birth of 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defendants argue that the plaintiff has acted unreasonably in delaying surgery. They note that both Dr. Dhawan and Dr. Fry had recommended surgery by mid-2004. They note that at her examination for discovery on November 16, 2006, the plaintiff said that the delay was because she was still hoping that her condition would improve without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Some argument was raised about whether Dr. Fry was still waiting on a second opinion as to what symptoms might be alleviated by TOS surgery. Here, I agree with the defendants that the second opinion was provided by Dr. Dhawan in 2004 and that this comment by Dr. Fry, in his report of July 26, 2006, refers to obtaining a second opinion from another vascular surgeon as to what symptoms surgery was likely to resolve, before the plaintiff completely wrote off the possibility of undergoing TOS surgery. This comment seems to contradict the plaintiff's stated intention to undergo surgery once her child is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find, based on an assessment of the expert evidence, that the surgery to correct the plaintiff's TOS would have had a 70% chance of success. The risk of negative effects due to the surgery is quite low and the consequences of not having the surgery-the plaintiff's inability to work for the remainder of her life and have children as she planned, according to her alternate position at trial-are quite severe. While surgery would not alleviate all her symptoms, it would very probably increase her ability to engage in repetitive, or overhead, work and might also alleviate some of her neck and back pain. It is also relatively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this case, I conclude that the plaintiff should reasonably have undergone surgery for TOS by the end of 2004. The evidence establishes clearly that more conservative treatment measures failed to alleviate the plaintiff's condition and she herself was frustrated at her lack of progress. She was clear that she intends to have the surgery in the future. By July of 2004, both Drs. Fry and Dhawan had discussed and recommended surgery to the plaintiff. All agreed that the surgery was relatively safe, although there was a risk of permanent paralysis. A relatively short recovery period of six weeks would have been required before the plaintiff could start work. Even allowing for wait lists and booking issues, the plaintiff should reasonably have followed the advice of Drs. Fry and Dhawan and proceeded with surgery by the end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find that, had the plaintiff undergone surgery, there is a 70% chance that her TOS symptoms would have improved. As already stated, I do not find that her other soft tissue complaints are as severe as she states. Reduction of the TOS symptoms would enhance the plaintiff's ability to engage in repetitive or overhead tasks, leaving a broader range of occupations open to her. It would also assist her ability to do housework and engage in recreational activities involving the use of her arms. Although she says that she was looking for full-time employment in 2004, given her reported physical limitations and apparent financial means, it would have been more sensible to resolve her physical problems first. Therefore, I find she acted unreasonably in failing to undergo surgery and, accordingly, the plaintiff's damages should be reduced by 70% after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Temporal Duration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As stated above, I have concluded that, had the plaintiff acted reasonably and had TOS surgery, her TOS-related symptoms would most probably have been resolved by the end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also conclude that the plaintiff's soft tissue injuries, sustained as a result of the accident, had improved significantly by the end of 2000. Dr. Sperling commented at the end of August 2000 that the plaintiff's soft tissue injuries were gradually resolving; and there was evidence at CBI that she had a greater range of motion than she displayed when actively tested. Dr. Arthur gave her a very good prognosis in August 2000. Further, the doctors were agreed that an active rehabilitation program, such as that at CBI, should have assisted the plaintiff. I have found that she did not have legitimate reasons for her failure to attend that program and this is an important factor in assessing her damages as well. Overall, I conclude that the plaintiff's soft tissue injuries had largely resolved within one year after the accident; and were then exaggerated once it began to be suspected that the plaintiff might be suffering from TOS. The plaintiff's reporting of her symptoms is highly inconsistent as between her examinations for discovery, her reports to professionals and her testimony at trial. This is an important consideration where the primary evidence is the plaintiff's own reporting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With respect to the plaintiff's TMJ, I find that this problem was largely resolved by the end of 2000. The plaintiff reported in her examination for discovery that her jaw pain had resolved by November or December of 2000, with physiotherapy, and she was not suffering from TMJ, provided that she avoided chewy foods. Dr. Dhawan's clinical records on May 27, 2003, indicate that the plaintiff had TMJ dysfunction, but it resolved. Additionally, Dr. Epstein had prescribed an oral appliance in 2003, which ultimately assisted the plaintiff when she did obtain one in 2006. The plaintiff reported she could not afford the device, yet managed to put a significant down payment on a house. Again, this demonstrates that the plaintiff's priorities were not to ameliorate her condition as much as possible and I find that her failure to obtain the oral appliance, when first prescribed, was unreasonable. Therefore, I conclude that the plaintiff's TMJ was, or should have been, resolved by 2003 at the latest.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plaintiff's headaches, depression, bowel problems and sexual dysfunction were all largely due to the above-described primary symptoms. As I have found that there was much that the plaintiff could have done to alleviate her TOS and TMJ much sooner than she did, and that her back and neck pain were not as severe as she reported, it follows that these secondary symptoms should have been less severe had the plaintiff acted reasonably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seeks $150,000 in non-pecuniary damages arguing that, as a result of the accident, she will suffer from chronic pain for the rest of her life. She requires significant medication and rehabilitation, and her injuries have not significantly improved after six years. She has given up her career aspiration of becoming a legal secretary and cannot pursue the recreational activities she formerly enjoyed. She lacks independence as she requires assistance with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distinguish the cases relied on by the plaintiff and submit that $35,000 to $45,000 would be an appropriate award for non-pecuniary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Non-pecuniary damages are to be assessed by using a functional approach-monetary compensation is awarded to provide the injured person with reasonable solace for his misfortune: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The purpose of non-pecuniary damages was recently considered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(2006), 263 D.L.R. (4th) 19</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b/>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at 637 is a helpful reminder: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Personal Injury Damages in Canada (1981), at p. 373). In dealing with an award of this nature it will be impossible to develop a "tariff". An award will vary in each case "to meet the specific circumstances of the individual case" (</w:t>
      </w:r>
      <w:r>
        <w:rPr>
          <w:rFonts w:ascii="arial" w:eastAsia="arial" w:hAnsi="arial" w:cs="arial"/>
          <w:b/>
          <w:i/>
          <w:color w:val="000000"/>
          <w:sz w:val="20"/>
          <w:lang w:val="en-US" w:eastAsia="en-US" w:bidi="ar-SA"/>
        </w:rPr>
        <w:t>Thornton</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p. 284 of S.C.R.).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At para. 46, Kirkpatrick J.A., writing for a majority of the Court, set out the factors that are to be considered in awarding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 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Boyd v. Harris</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(2004), 237 D.L.R. (4th) 193</w:t>
        </w:r>
      </w:hyperlink>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involved a plaintiff who had a physically demanding job which permitted him to live on a ranch-something he could not do if he could no longer work. The plaintiff suffered chronic headaches, back and shoulder pain. He suffered from TOS and had a first rib resection. He reported an 80% improvement thereafter. However, he continued to have residual complaints of pain. A jury award of $275,000 for non-pecuniary damages was reduced to $175,000 on appeal, although Kirkpatrick J.A. stated at para. 110 that damages in the circumstances would not generally exceed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plaintiff also relied on </w:t>
      </w:r>
      <w:r>
        <w:rPr>
          <w:rFonts w:ascii="arial" w:eastAsia="arial" w:hAnsi="arial" w:cs="arial"/>
          <w:b/>
          <w:i/>
          <w:color w:val="000000"/>
          <w:sz w:val="20"/>
          <w:lang w:val="en-US" w:eastAsia="en-US" w:bidi="ar-SA"/>
        </w:rPr>
        <w:t>Johnson v. Clark</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[1996] B.C.J. No. 2164</w:t>
        </w:r>
      </w:hyperlink>
      <w:r>
        <w:rPr>
          <w:rFonts w:ascii="arial" w:eastAsia="arial" w:hAnsi="arial" w:cs="arial"/>
          <w:color w:val="000000"/>
          <w:sz w:val="20"/>
          <w:lang w:val="en-US" w:eastAsia="en-US" w:bidi="ar-SA"/>
        </w:rPr>
        <w:t xml:space="preserve"> (S.C.) (32 year old plaintiff suffering serious injury preventing both work and recreational activities, who underwent TOS surgery and had no prospect of improvement and a risk that he would lose his arm in future, awarded $150,000 in non-pecuniary damages); </w:t>
      </w:r>
      <w:r>
        <w:rPr>
          <w:rFonts w:ascii="arial" w:eastAsia="arial" w:hAnsi="arial" w:cs="arial"/>
          <w:b/>
          <w:i/>
          <w:color w:val="000000"/>
          <w:sz w:val="20"/>
          <w:lang w:val="en-US" w:eastAsia="en-US" w:bidi="ar-SA"/>
        </w:rPr>
        <w:t>Nerdahl v. McKeating</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[1996] B.C.J. No. 35</w:t>
        </w:r>
      </w:hyperlink>
      <w:r>
        <w:rPr>
          <w:rFonts w:ascii="arial" w:eastAsia="arial" w:hAnsi="arial" w:cs="arial"/>
          <w:color w:val="000000"/>
          <w:sz w:val="20"/>
          <w:lang w:val="en-US" w:eastAsia="en-US" w:bidi="ar-SA"/>
        </w:rPr>
        <w:t xml:space="preserve"> (S.C.) (26 year old plaintiff who developed fibromyalgia, TOS and chronic pain syndrome as a result of two accidents, leading to problems in her marriage, who would likely undergo thoracic surgery, awarded $100,000 in non-pecuniary damages);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(2006), 228 B.C.A.C. 164</w:t>
        </w:r>
      </w:hyperlink>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xml:space="preserve"> (28 year-old plaintiff suffering permanent injuries to spine and nerve damage in lower back, plus exacerbation of a pre-existing migraine problem and a risk of depression, awarded $100,000 in non-pecuniary damages. Award upheld as generous, but reasonable in the circumstances.); and </w:t>
      </w:r>
      <w:r>
        <w:rPr>
          <w:rFonts w:ascii="arial" w:eastAsia="arial" w:hAnsi="arial" w:cs="arial"/>
          <w:b/>
          <w:i/>
          <w:color w:val="000000"/>
          <w:sz w:val="20"/>
          <w:lang w:val="en-US" w:eastAsia="en-US" w:bidi="ar-SA"/>
        </w:rPr>
        <w:t>Dembowski v. Streliev</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[1998] B.C.J. No. 1693</w:t>
        </w:r>
      </w:hyperlink>
      <w:r>
        <w:rPr>
          <w:rFonts w:ascii="arial" w:eastAsia="arial" w:hAnsi="arial" w:cs="arial"/>
          <w:color w:val="000000"/>
          <w:sz w:val="20"/>
          <w:lang w:val="en-US" w:eastAsia="en-US" w:bidi="ar-SA"/>
        </w:rPr>
        <w:t xml:space="preserve"> (S.C.) (plaintiff suffering several injuries plus TOS and continued low back pain with poor prospect of recovery even with a first rib resection, who could work but would suffer a compromised personal life, awarded $60,000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defendants distinguish the circumstances in those cases from the case at bar. They cite </w:t>
      </w:r>
      <w:r>
        <w:rPr>
          <w:rFonts w:ascii="arial" w:eastAsia="arial" w:hAnsi="arial" w:cs="arial"/>
          <w:b/>
          <w:i/>
          <w:color w:val="000000"/>
          <w:sz w:val="20"/>
          <w:lang w:val="en-US" w:eastAsia="en-US" w:bidi="ar-SA"/>
        </w:rPr>
        <w:t>Olshanoski v. Clemenson</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2006 BCSC 483</w:t>
        </w:r>
      </w:hyperlink>
      <w:r>
        <w:rPr>
          <w:rFonts w:ascii="arial" w:eastAsia="arial" w:hAnsi="arial" w:cs="arial"/>
          <w:color w:val="000000"/>
          <w:sz w:val="20"/>
          <w:lang w:val="en-US" w:eastAsia="en-US" w:bidi="ar-SA"/>
        </w:rPr>
        <w:t xml:space="preserve"> (37 year old plaintiff suffering intermittent back pain over 4.5 years with diminished ability to do housework and potential for future relapses due to a stressful job, awarded $35,000 non-pecuniary damages); </w:t>
      </w:r>
      <w:r>
        <w:rPr>
          <w:rFonts w:ascii="arial" w:eastAsia="arial" w:hAnsi="arial" w:cs="arial"/>
          <w:b/>
          <w:i/>
          <w:color w:val="000000"/>
          <w:sz w:val="20"/>
          <w:lang w:val="en-US" w:eastAsia="en-US" w:bidi="ar-SA"/>
        </w:rPr>
        <w:t>Craddock v. Wood</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2002 BCSC 1528</w:t>
        </w:r>
      </w:hyperlink>
      <w:r>
        <w:rPr>
          <w:rFonts w:ascii="arial" w:eastAsia="arial" w:hAnsi="arial" w:cs="arial"/>
          <w:color w:val="000000"/>
          <w:sz w:val="20"/>
          <w:lang w:val="en-US" w:eastAsia="en-US" w:bidi="ar-SA"/>
        </w:rPr>
        <w:t xml:space="preserve"> (plaintiff with soft tissue injury and numbness and tingling that interfered with sports and other physical activities, awarded $22,000 in non-pecuniary damages); </w:t>
      </w:r>
      <w:r>
        <w:rPr>
          <w:rFonts w:ascii="arial" w:eastAsia="arial" w:hAnsi="arial" w:cs="arial"/>
          <w:b/>
          <w:i/>
          <w:color w:val="000000"/>
          <w:sz w:val="20"/>
          <w:lang w:val="en-US" w:eastAsia="en-US" w:bidi="ar-SA"/>
        </w:rPr>
        <w:t>Kalar v. Cameron</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[1997] B.C.J. No. 1936</w:t>
        </w:r>
      </w:hyperlink>
      <w:r>
        <w:rPr>
          <w:rFonts w:ascii="arial" w:eastAsia="arial" w:hAnsi="arial" w:cs="arial"/>
          <w:color w:val="000000"/>
          <w:sz w:val="20"/>
          <w:lang w:val="en-US" w:eastAsia="en-US" w:bidi="ar-SA"/>
        </w:rPr>
        <w:t xml:space="preserve"> (S.C.) (accident aggravated pre-existing medical condition that led to period of TOS and neck and lower back pain, and circumstances stalled what should have been a complete recovery, awarded $40,000 in non-pecuniary damages); </w:t>
      </w:r>
      <w:r>
        <w:rPr>
          <w:rFonts w:ascii="arial" w:eastAsia="arial" w:hAnsi="arial" w:cs="arial"/>
          <w:b/>
          <w:i/>
          <w:color w:val="000000"/>
          <w:sz w:val="20"/>
          <w:lang w:val="en-US" w:eastAsia="en-US" w:bidi="ar-SA"/>
        </w:rPr>
        <w:t>Boen v. Galea</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[1997] B.C.J. No. 1898</w:t>
        </w:r>
      </w:hyperlink>
      <w:r>
        <w:rPr>
          <w:rFonts w:ascii="arial" w:eastAsia="arial" w:hAnsi="arial" w:cs="arial"/>
          <w:color w:val="000000"/>
          <w:sz w:val="20"/>
          <w:lang w:val="en-US" w:eastAsia="en-US" w:bidi="ar-SA"/>
        </w:rPr>
        <w:t xml:space="preserve"> (S.C.) (35 year old plaintiff who suffered transient weakness, coldness, numbness and colour change in left arm, which was partially ameliorated by surgery, plus ongoing pain, awarded $75,000 in non-pecuniary damages); and </w:t>
      </w:r>
      <w:r>
        <w:rPr>
          <w:rFonts w:ascii="arial" w:eastAsia="arial" w:hAnsi="arial" w:cs="arial"/>
          <w:b/>
          <w:i/>
          <w:color w:val="000000"/>
          <w:sz w:val="20"/>
          <w:lang w:val="en-US" w:eastAsia="en-US" w:bidi="ar-SA"/>
        </w:rPr>
        <w:t>Mowat v. Orza</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2003 BCSC 373</w:t>
        </w:r>
      </w:hyperlink>
      <w:r>
        <w:rPr>
          <w:rFonts w:ascii="arial" w:eastAsia="arial" w:hAnsi="arial" w:cs="arial"/>
          <w:color w:val="000000"/>
          <w:sz w:val="20"/>
          <w:lang w:val="en-US" w:eastAsia="en-US" w:bidi="ar-SA"/>
        </w:rPr>
        <w:t xml:space="preserve"> (plaintiff suffering mild TOS that would continue which reduced her ability to do recreational activities, work, and do housework, awarded $50,000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this case, I have concluded that $50,000 is an appropriate award for non-pecuniary damages. The plaintiff was relatively young at the time of the accident and the injuries suffered in the accident have had a significant impact on her life. However, I have found that she has exaggerated her soft tissue complaints to a significant degree, particularly after the onset of her TOS symptoms. Functionally, she has still been able to marry, buy a house and have a child. While she cannot work as a legal secretary, it is by no means clear on the evidence that she would have achieved that goal absent the accident, given her pre-existing physical limitations, pre-disposition to TOS and poor academic track record. The plaintiff's injuries are not as severe as those of the plaintiffs in the cases she relies on and in </w:t>
      </w:r>
      <w:r>
        <w:rPr>
          <w:rFonts w:ascii="arial" w:eastAsia="arial" w:hAnsi="arial" w:cs="arial"/>
          <w:b/>
          <w:i/>
          <w:color w:val="000000"/>
          <w:sz w:val="20"/>
          <w:lang w:val="en-US" w:eastAsia="en-US" w:bidi="ar-SA"/>
        </w:rPr>
        <w:t>Dembowski v. Streliev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it was unlikely that a first rib resection would ameliorate the plaintiff's condition. Additionally, I have found that the plaintiff failed to mitigate her losses by unreasonably failing to have the first rib resection, when advised to do so, and did not make a concerted effort to improve her condition. I reject her evidence that she was financially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parties took significant issue with damages for past wage loss and loss of income-earning capacity. In particular, the parties strongly disagree as to what career path the plaintiff would have followed absent the accident and, also, as to the relevant standard of proof to be applied to such hypothetical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Proof of Future Events or Past Hypotheticals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plaintiff argues that a court must take account of hypothetical events according to the probability that such events would have occurred. The plaintiff relies on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(2004), 33 B.C.L.R. (4th) 76</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31, and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where Major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Hypothetical events (such as how the plaintiff's life would have proceeded without the tortious injury) or future events need not be proven on a balance of probabilities. Instead, they are simply given weight according to their relative likelihood: </w:t>
      </w:r>
      <w:r>
        <w:rPr>
          <w:rFonts w:ascii="arial" w:eastAsia="arial" w:hAnsi="arial" w:cs="arial"/>
          <w:i/>
          <w:color w:val="000000"/>
          <w:sz w:val="20"/>
          <w:lang w:val="en-US" w:eastAsia="en-US" w:bidi="ar-SA"/>
        </w:rPr>
        <w:t>Mallett v. McMonagle</w:t>
      </w:r>
      <w:r>
        <w:rPr>
          <w:rFonts w:ascii="arial" w:eastAsia="arial" w:hAnsi="arial" w:cs="arial"/>
          <w:color w:val="000000"/>
          <w:sz w:val="20"/>
          <w:lang w:val="en-US" w:eastAsia="en-US" w:bidi="ar-SA"/>
        </w:rPr>
        <w:t xml:space="preserve">, [1970] A.C. 166 (H.L.);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(1990), 169 C.L.R. 638 (Aust. H.C.);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For example, if there is a 30 percent chance that the plaintiff's injuries will worsen, then the damage award may be increased by 30 percent of the anticipated extra damages to reflect that risk.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Schrump v. Koot</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Court of Appeal held that the trial judge had erred in instructing the jury that the plaintiff must prove his loss of opportunity to bid for a contract on a balance of probabilities because it was a past event. Rather, past hypothetical events are to be assessed in the same manner as future events: the plaintiff must demonstrate that the event is a substantial possibility and then it is to be given weight according to its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 defendants do not disagree that this is the law to be applied, but rather emphasize that the plaintiff must prove a substantial possibility, giving rise to compensation for diminished earning capacity, before the court must consider a possibility: see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(2007), 64 B.C.L.R. (4th) 152</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paras. 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claimant bears the onus to prove at trial a substantial possibility of a future event leading to an income loss, and the court must then award compensation on an estimation of the chance that the event will occur: </w:t>
      </w:r>
      <w:r>
        <w:rPr>
          <w:rFonts w:ascii="arial" w:eastAsia="arial" w:hAnsi="arial" w:cs="arial"/>
          <w:b/>
          <w:i/>
          <w:color w:val="000000"/>
          <w:sz w:val="20"/>
          <w:lang w:val="en-US" w:eastAsia="en-US" w:bidi="ar-SA"/>
        </w:rPr>
        <w:t>Parypa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169 D.L.R. (4th) 661</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[paragraph] 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record is examined according to that approach, I cannot see the basis for a substantial possibility giving rise to compensation for diminished earning capacity. There being no other realistic alternative occupation that would be impaired by the plaintiff's accident injuries, the claim for future loss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Further, the defendants attack the assumptions made by Mr. Carson in preparing his report and caution the Court against relying too heavily on calculations to suggest that a consideration of imponderable factors can be rendered knowable through an expert's opinion. Expert evidence cannot usurp the function of the judge in relation to the evaluation of assumptions and the evidence. See </w:t>
      </w:r>
      <w:r>
        <w:rPr>
          <w:rFonts w:ascii="arial" w:eastAsia="arial" w:hAnsi="arial" w:cs="arial"/>
          <w:i/>
          <w:color w:val="000000"/>
          <w:sz w:val="20"/>
          <w:lang w:val="en-US" w:eastAsia="en-US" w:bidi="ar-SA"/>
        </w:rPr>
        <w:t xml:space="preserve">e.g. </w:t>
      </w:r>
      <w:r>
        <w:rPr>
          <w:rFonts w:ascii="arial" w:eastAsia="arial" w:hAnsi="arial" w:cs="arial"/>
          <w:b/>
          <w:i/>
          <w:color w:val="000000"/>
          <w:sz w:val="20"/>
          <w:lang w:val="en-US" w:eastAsia="en-US" w:bidi="ar-SA"/>
        </w:rPr>
        <w:t>Pinewood Recording Studios Ltd. v. City Tower Development Corp.</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(1998), 115 B.C.A.C. 33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75 B.C.A.C. 263</w:t>
        </w:r>
      </w:hyperlink>
      <w:r>
        <w:rPr>
          <w:rFonts w:ascii="arial" w:eastAsia="arial" w:hAnsi="arial" w:cs="arial"/>
          <w:color w:val="000000"/>
          <w:sz w:val="20"/>
          <w:lang w:val="en-US" w:eastAsia="en-US" w:bidi="ar-SA"/>
        </w:rPr>
        <w:t xml:space="preserve"> (see paras. 24-28); </w:t>
      </w:r>
      <w:r>
        <w:rPr>
          <w:rFonts w:ascii="arial" w:eastAsia="arial" w:hAnsi="arial" w:cs="arial"/>
          <w:b/>
          <w:i/>
          <w:color w:val="000000"/>
          <w:sz w:val="20"/>
          <w:lang w:val="en-US" w:eastAsia="en-US" w:bidi="ar-SA"/>
        </w:rPr>
        <w:t>Lee v. Richmond Hospital Society</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(2003), 21 B.C.L.R. (4th) 127</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2003 BCCA 678</w:t>
        </w:r>
      </w:hyperlink>
      <w:r>
        <w:rPr>
          <w:rFonts w:ascii="arial" w:eastAsia="arial" w:hAnsi="arial" w:cs="arial"/>
          <w:color w:val="000000"/>
          <w:sz w:val="20"/>
          <w:lang w:val="en-US" w:eastAsia="en-US" w:bidi="ar-SA"/>
        </w:rPr>
        <w:t xml:space="preserve"> at paras. 7-12. They submit that an appropriate award would be in the range of $10,000-$15,000.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Analysis -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this case, the plaintiff has presented a number of differing scenarios for both past and future wage loss and Mr. Carson, an economist, has extrapolated out these various earnings-streams to calculate the value of the plaintiff's loss of earnings under each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difficulty is that the plaintiff's submissions are premised on everything in life going most favourably for her, despite a spotty academic record and only low-level job experience up to the time of the accident. Subsequent events, such as the death of the plaintiff's father and her purchase of a house, would most probably have caused her to delay her education further, even had the accident not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With respect to a career in sales, I conclude that the plaintiff has not demonstrated that she had a substantial possibility of pursuing a career in sales. I find that she left Discount Travel, at least in part, because she was not good at sales and her work history at MJM Furniture was too short to make any prediction as to how successful she might have been as a salesperson for that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There is also no proof that she could have gone on to become a paralegal; this is pure speculation. In view of her spotty academic record, I conclude that she has not proven a substantial possibility that she would have obtained employment as a paralegal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do conclude that the plaintiff has proven a possibility that she would have obtained employment as a legal secretary. However, the plaintiff's evidence in this regard did not consider her poor academic track record, previous complaints of neck and back pain while taking computer courses at school, and her predisposition to TOS, which could have been rendered symptomatic by the repetitive stress involved in such an occupation. I find that these factors could well have precluded her from obtaining or continuing employment as a legal secretary. Therefore, the possibility that she would obtain employment as a legal secretary must be substantially discounted. Considering all of the evidence and, in particular, the plaintiff's very poor academic record, I conclude that there is an approximately 30% chance that the plaintiff would have obtained employment as a legal secretary.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 further issue that arises is when the plaintiff would have commenced work as a legal secretary, absent the accident. Given that she was working two part-time jobs at the time of the accident, her ongoing history of academic difficulties, the fact of her father's death in 2001 which disrupted her studies, and her purchase of a house in 2002, I conclude that the earliest the plaintiff could have commenced work as a legal secretary is mid-2003.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Carson has estimated the plaintiff's past loss of earnings based on her positions at FedEx and Sears up to mid-2002, at which time he assumes she would have commenced work as a legal secretary. He has excluded the two months the plaintiff was off work due to the death of her father and she does not seek damages for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Counsel submits that, if the Court finds that the plaintiff would not have worked as a legal secretary prior to trial, or would have started work as a legal secretary later than mid-2002, the figures for B.C. females without a university education are very similar to those for legal secretaries. Therefore, the figures for legal secretaries should be used. I agree with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Mr. Carson's estimates are discounted for contingencies of labour force participation, unemployment rates and the probabilities of engaging in part-time work. He has added 10% as the average value of non-wage benefits. Reducing past wage loss to a value net of taxes and Employment Insurance contributions, as described in </w:t>
      </w:r>
      <w:r>
        <w:rPr>
          <w:rFonts w:ascii="arial" w:eastAsia="arial" w:hAnsi="arial" w:cs="arial"/>
          <w:b/>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(2003), 9 B.C.L.R. (4th) 324</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counsel estimates past wage loss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$11,202</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$ 3,354</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$ 8,591</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$ 9,009</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Thus, the total past wage loss claimed by the plaintiff is $32,156, which assumes the plaintiff was working an average of 12.5 hours per week at Sears and 20 hours per week at FedEx prior to obtaining full time employment as a legal secretary in mid-2002.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defendants observe that this analysis does not consider the reasonableness of the plaintiff's decision to leave Sears, or whether she would have left Sears even absent the accident. The plaintiff's earnings in 2003 and 2004 are very low because the plaintiff was unemployed for a significant period of time. Additionally, she took a significant number of trips in 2003 and this is a factor to be considered. After the plaintiff started working at CIBC in 2005, she actually made more than she had at any time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Considering all of the above factors, including particularly the plaintiff's choices to leave Sears and spend a significant amount of time away in 2003, and my findings in relation to the overemphasis of the plaintiff's complaints, I consider that $15,000 is an appropriate award for the plaintiff's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parties disagree both as to the correct approach to assessing the loss of future income-earning capacity to be applied in this case, and as to the facts surrounding the assessment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plaintiff makes several submissions in the alternative, the results of which vary from each other by several hundred thousand dollars. She submits that there are two approaches to assessing loss of future earning capacity: the "substantial possibility" approach and the "capital asset" approach, and that these approaches should be used as alternatives. She relies on </w:t>
      </w:r>
      <w:r>
        <w:rPr>
          <w:rFonts w:ascii="arial" w:eastAsia="arial" w:hAnsi="arial" w:cs="arial"/>
          <w:b/>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53 B.C.A.C. 310</w:t>
        </w:r>
      </w:hyperlink>
      <w:r>
        <w:rPr>
          <w:rFonts w:ascii="arial" w:eastAsia="arial" w:hAnsi="arial" w:cs="arial"/>
          <w:color w:val="000000"/>
          <w:sz w:val="20"/>
          <w:lang w:val="en-US" w:eastAsia="en-US" w:bidi="ar-SA"/>
        </w:rPr>
        <w:t>. At para. 27 of that case, Finch J.A., writing for a majority of the Court, stated that the two approaches are not mutually exclusive; they are simply different ways of attempting to assess the same head of damages. In that case, the plaintiff was awarded damages for loss of future income, even though he was actually earning more at the time of trial then he had been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defendants argue that the plaintiff must prove a substantial possibility of a future income loss before she is entitled to any award under this head of damages. As she is now earning more as a bank teller than at any time prior to the accident, the defendants submit that no award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After reviewing the cases provided by the parties, I have concluded that the defendants' statement of the law is correct. The B.C. Court of Appeal in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clarified that while the plaintiff is to be compensated not for lost earnings themselves, but for the loss of earning capacity as a capital asset (based on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(C.A.) and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(1999), 169 D.L.R. (4th) 661</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the plaintiff still bears the onus to prove at trial a substantial possibility of a future event leading to an income loss and the court will then award compensation on an estimation of the chance that the event will occur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Four often-cited considerations in assessing the value of the lost capital asset are set out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An estimate of the quantum of damages for loss of income-earning capacity can begin with an extrapolation of earnings to find the present value of the plaintiff's projected future earnings. However, that is only a starting point. A court must go on to consider all of the evidence and award what is reasonable in the circumstances: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paras. 68-70. Additionally, the assessment of the plaintiff's loss must be guided to some extent by the claimant's actual earnings prior to the accident: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disagree with the defendants that no award is appropriate in this case: the plaintiff has been rendered less attractive as an employee due to her inability to engage in repetitive motions and, as a result, some occupations have been closed to her. However, the submissions put forward on her behalf tend to gloss over her spotty academic record and low-level job experience, to suggest that she would have accomplished much more given sufficient time. The evidence simply does not support the scenarios put forward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this case, Mr. Carson has given evidence that the present value of the difference in earnings between a legal secretary and a bank teller, working to retirement age and taking into consideration appropriate contingencies as explained above, is $122,500. However, I have found that there is only a 30% probability that the plaintiff would have been successfully employed as a legal secretary, based on her physical predispositions and poor academic track record. Therefore, that amount should be discounted, accordingly, to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Based on all of the evidence, I find that the plaintiff will most probably be able to continue working as a bank teller, even with her injuries. The evidence of Amita Darshan and Mr. Pakulak satisfies me that she is able to physically perform the demands of this job, as do her previous positive performance evaluations and raises. Her fears regarding job security appear unfounded on the objective evidence. Additionally, surgery to ameliorate her TOS symptoms would likely improve her outlook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I have also found that the plaintiff failed to mitigate her damages by not undergoing TOS surgery by the end of 2004, it follows that her damages for loss of income-earning capacity should be further reduced by 70% to reflect that fact. Therefore, I award the plaintiff $10,000 for loss of income-earning capacity. Given a consideration of all of the facts of the case, including the fact that the plaintiff now earns more than she did before the accident and might well have been unable to pursue a career as a legal secretary even absent the accident, it is my view that this is a fair award in all of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test for whether an item should be allowed for the cost of future care is that set out by McLachlin J. (as she then was)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 199 (S.C.), aff'd </w:t>
      </w:r>
      <w:hyperlink r:id="rId23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there must be a medical justification for the claim for cost of future care, and the claim itself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In this case, Mr. Pakulak, an occupational therapist, provided a cost of future care report based on his functional capacity evaluations of the plaintiff. Mr. Carson provided an estimate of the present value of these expenses. The plaintiff submits that I should follow the analysis in </w:t>
      </w:r>
      <w:r>
        <w:rPr>
          <w:rFonts w:ascii="arial" w:eastAsia="arial" w:hAnsi="arial" w:cs="arial"/>
          <w:b/>
          <w:i/>
          <w:color w:val="000000"/>
          <w:sz w:val="20"/>
          <w:lang w:val="en-US" w:eastAsia="en-US" w:bidi="ar-SA"/>
        </w:rPr>
        <w:t>Maillet v. Rosenau</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2006 BCSC 10</w:t>
        </w:r>
      </w:hyperlink>
      <w:r>
        <w:rPr>
          <w:rFonts w:ascii="arial" w:eastAsia="arial" w:hAnsi="arial" w:cs="arial"/>
          <w:color w:val="000000"/>
          <w:sz w:val="20"/>
          <w:lang w:val="en-US" w:eastAsia="en-US" w:bidi="ar-SA"/>
        </w:rPr>
        <w:t>, in which a similar cost of future care report prepared by Mr. Pakulak was largely adopted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defendants did not provide their own estimate of the cost of future care, but rather challenge all of the expenses put forward by the plaintiff. They argue that there is a lack of medical foundation causally linking the future care needs to the MVA, that the expenses are unreasonable and disproportionate given the actual care costs incurred by the plaintiff, and that the expenses are based on the assumption that there will be no improvement in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estimated present values of the cost of future care items, proposed by the plaintiff. are as follows (excluding present value of sales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286"/>
        <w:gridCol w:w="2510"/>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sessions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$16,992</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391"/>
        <w:gridCol w:w="2404"/>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Massage therapy sessions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$12,194</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182"/>
        <w:gridCol w:w="1778"/>
        <w:gridCol w:w="836"/>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Marital counselling</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885</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5227"/>
        <w:gridCol w:w="1359"/>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7,200</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(counsel's estimate of</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value, not present value)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391"/>
        <w:gridCol w:w="2404"/>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Heavier weekly cleaning</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$98,863</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973"/>
        <w:gridCol w:w="2823"/>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Seasonal cleaning</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$ 7,605</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5541"/>
        <w:gridCol w:w="1255"/>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Childcare for 2 children for 2 years each</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$67,206</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973"/>
        <w:gridCol w:w="1987"/>
        <w:gridCol w:w="836"/>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Lightweight vacuum</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220</w:t>
            </w:r>
          </w:p>
        </w:tc>
        <w:tc>
          <w:tcPr>
            <w:tcW w:w="225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Long reach duster</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496"/>
        <w:gridCol w:w="1464"/>
        <w:gridCol w:w="836"/>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Stand up dustpan and brush</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4810"/>
        <w:gridCol w:w="1150"/>
        <w:gridCol w:w="836"/>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Long reach bathroom cleaner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replacement heads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367</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4287"/>
        <w:gridCol w:w="1673"/>
        <w:gridCol w:w="836"/>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Tempur Pedic mattress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4552</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973"/>
        <w:gridCol w:w="1987"/>
        <w:gridCol w:w="836"/>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Memory foam pillow</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436</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450"/>
        <w:gridCol w:w="2510"/>
        <w:gridCol w:w="836"/>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Gabapentin</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2914</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per year</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346"/>
        <w:gridCol w:w="2614"/>
        <w:gridCol w:w="836"/>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Imitrex</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797</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per year</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3764"/>
        <w:gridCol w:w="2196"/>
        <w:gridCol w:w="836"/>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Amitriptyline</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per year</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Reviewing the medical evidence and reasonableness of each of these expenses in turn, I conclude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No amount should be allowed for items 1 and 2, physiotherapy or massage therapy sessions, as the plaintiff ceased such treatments in 2001. I have rejected her argument that she was unable to afford to continue such therapy when funding was not provided by ICBC. While awards for amounts which are reasonable and medically justified should generally be made, and the plaintiff is not obliged to spend the award in a particular way, no amount should be awarded for items which it is unlikely that the plaintiff will actually use (see </w:t>
      </w:r>
      <w:r>
        <w:rPr>
          <w:rFonts w:ascii="arial" w:eastAsia="arial" w:hAnsi="arial" w:cs="arial"/>
          <w:i/>
          <w:color w:val="000000"/>
          <w:sz w:val="20"/>
          <w:lang w:val="en-US" w:eastAsia="en-US" w:bidi="ar-SA"/>
        </w:rPr>
        <w:t xml:space="preserve">e.g. </w:t>
      </w:r>
      <w:r>
        <w:rPr>
          <w:rFonts w:ascii="arial" w:eastAsia="arial" w:hAnsi="arial" w:cs="arial"/>
          <w:b/>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a case not cited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With respect to marital counselling, the plaintiff was married after the accident and the full implications of her level of functioning were clear to her fiancé. Therefore, I would not allow item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With regard to psychotherapy, 24-48 sessions of individual psychotherapy seems excessive for an outwardly well-functioning individual. She was referred to Dr. Lu by her counsel rather than by a treating physician. However, the defendants have put forward no evidence to challenge the recommendation of Dr. Lu. Therefore, the plaintiff is entitled to the cost of 24 sessions of individual psychotherapy (at $150 per hour), or $3,600.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With respect to heavier cleaning and seasonal cleaning, 8 hours of assistance twice yearly for heavier seasonal cleaning appears reasonable in view of the plaintiff's limited ability to engage in repetitive motions. This amount is allowed at $7,500. With respect to heavier weekly cleaning, some assistance will be required; however, four hours per week at $20 per hour seems excessive. I would allow $50,000 for assistance with regular cleaning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defendants strongly object to the plaintiff's claim for a full-time nanny for the first two years of each of her children's lives. I agree with the defendants that this appears to be an excessive claim and would place the plaintiff in a much better position than she would have been in, absent the accident. There is also no medical justification for this claim-Dr. Salvian noted that she would have difficulty carrying a growing toddler and recommends avoiding certain housecleaning activities, but nowhere does he suggest that a full-time nanny is the appropriate solution to the problem. Unfortunately, counsel has not posed a more reasonable alternative and there is no evidence of what that might cost. In view of the fact that the plaintiff will receive assistance with regular household chores, it is not appropriate for an additional award to be made for assistance with childcare. If the plaintiff returns to work, as she says she intends to, she would still have to make appropriate arrangements for childcare.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No amount should be allowed for items 8 through 13 as the plaintiff would have to purchase these items regardless of whether or not the accident occurred. There is no evidence as to the increased cost of these special items as opposed to standard cleaning equipment, mattresses and pillows. Additionally, the plaintiff reported to Mr. Pakulak that a memory foam contoured pillow and a softer bed had made no difference to her sleeping pattern at the time of his second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Finally, I do not allow any amount for the prescription medications listed as items 14-16. It is pure speculation to estimate what drugs the plaintiff may require and for what duration. She has made no claim for reimbursement for prescription drugs since 2001, as she was reimbursed by way of her benefits from FedEx. The evidence establishes that most, or all, of the cost of her prescription drugs will be paid by CIBC. While the plaintiff submits that these benefits are in the nature of insurance because they are partially paid for by employees, relying on </w:t>
      </w:r>
      <w:r>
        <w:rPr>
          <w:rFonts w:ascii="arial" w:eastAsia="arial" w:hAnsi="arial" w:cs="arial"/>
          <w:b/>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88 B.C.L.R. (2d) 273</w:t>
        </w:r>
      </w:hyperlink>
      <w:r>
        <w:rPr>
          <w:rFonts w:ascii="arial" w:eastAsia="arial" w:hAnsi="arial" w:cs="arial"/>
          <w:color w:val="000000"/>
          <w:sz w:val="20"/>
          <w:lang w:val="en-US" w:eastAsia="en-US" w:bidi="ar-SA"/>
        </w:rPr>
        <w:t>, she does not seek reimbursement for the specific amounts already paid by her and reimbursed by Clarica/Sun Life. This seems to be an inconsistent position. I conclude that the evidence does not establish that an award should be made for prospective prescription drug expenses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Therefore, the total amount awarded for cost of future care is $61,100. This amount must be reduced by 70% to take into account the plaintiff's unreasonable actions in not proceeding with TOS surgery and, therefore, I award $18,000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plaintiff also seeks an award for past and future domestic services provided by her mother in law, Mrs. Danuse Svarovsky. Mrs. Svarovsky assisted the plaintiff with heavier household chores and gardening.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Some of the factors to be considered in the assessment of an in-trust claim were reviewed in </w:t>
      </w:r>
      <w:r>
        <w:rPr>
          <w:rFonts w:ascii="arial" w:eastAsia="arial" w:hAnsi="arial" w:cs="arial"/>
          <w:b/>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at para. 95 (S.C.):</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services replace services necessary for the care of the plaintiff;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here the spouse, are they over and above what would be expected from the marital relationship?</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 longer necessary that the person providing the services has foregone other income and there need not be payment for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Additionally, it is well settled that an in-trust award may be made for the performance of domestic duties by a family member where it is established that the services were required as a result of the accident. She says that she works approximately 3 hours per day when she visits the plaintiff, attending once per week, or two days per week in the spring and summer. She seeks $2,500 per year for the past 5 years and $1,000 per year for the next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The defendants emphasize that the Court of Appeal has recommended a "cautious and restrained" approach to in-trust claims: </w:t>
      </w:r>
      <w:r>
        <w:rPr>
          <w:rFonts w:ascii="arial" w:eastAsia="arial" w:hAnsi="arial" w:cs="arial"/>
          <w:b/>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58 B.C.A.C. 1</w:t>
        </w:r>
      </w:hyperlink>
      <w:r>
        <w:rPr>
          <w:rFonts w:ascii="arial" w:eastAsia="arial" w:hAnsi="arial" w:cs="arial"/>
          <w:color w:val="000000"/>
          <w:sz w:val="20"/>
          <w:lang w:val="en-US" w:eastAsia="en-US" w:bidi="ar-SA"/>
        </w:rPr>
        <w:t xml:space="preserve"> at para. 29; </w:t>
      </w:r>
      <w:r>
        <w:rPr>
          <w:rFonts w:ascii="arial" w:eastAsia="arial" w:hAnsi="arial" w:cs="arial"/>
          <w:b/>
          <w:i/>
          <w:color w:val="000000"/>
          <w:sz w:val="20"/>
          <w:lang w:val="en-US" w:eastAsia="en-US" w:bidi="ar-SA"/>
        </w:rPr>
        <w:t>Gill v. Probert</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[1999] B.C.J. No. 2436</w:t>
        </w:r>
      </w:hyperlink>
      <w:r>
        <w:rPr>
          <w:rFonts w:ascii="arial" w:eastAsia="arial" w:hAnsi="arial" w:cs="arial"/>
          <w:color w:val="000000"/>
          <w:sz w:val="20"/>
          <w:lang w:val="en-US" w:eastAsia="en-US" w:bidi="ar-SA"/>
        </w:rPr>
        <w:t xml:space="preserve"> at para. 164 (S.C.). They contend that Mrs. Svarovsky intended to help her son and the plaintiff with the household chores and look after their children, in any event, and that her actions do not go above and beyond what she would have been willing to do anyway. Additionally, there is no evidence that anyone was hired to assist with housework when Mrs. Svarovsky took her long vacations.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Given my conclusions with respect to the exaggerated severity of the plaintiff's soft tissue injuries and the fact that Mr. Pakulak recommended four hours per week of assistance with general cleaning, I conclude that an award of $2,000 per year for 2002-2004 is appropriate. However, after 2004, damages should be reduced by 70% to reflect the plaintiff's choice not to undergo surgery for TOS. Therefore, I allow $600 per year for 2005 and 2006, for a total of $7,200.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Counsel asserts that the prospective amount claimed on behalf of Mrs. Svarovsky is calculated to avoid double counting with Mr. Pakulak's future care recommendations. However, I do not see how assistance beyond what he has recommended is required, beyond what would ordinarily be done by a grandmother. This amount has already been awarded under the cost of future care. Therefore, no amount is awarded for the prospective 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 seeks special damages of $2,301.77 for medication, user-fees, equipment and an oral mouth guard. She also seeks $2,779.46 for transportation costs to her various appointments. These amounts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809"/>
        <w:gridCol w:w="115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 drugs (including Botox)</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$820.77</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495"/>
        <w:gridCol w:w="1464"/>
        <w:gridCol w:w="313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 Russell Schluter</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869"/>
        <w:gridCol w:w="2091"/>
        <w:gridCol w:w="313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Chiropractic user fees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705"/>
        <w:gridCol w:w="1255"/>
        <w:gridCol w:w="313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 Southcentre Physio</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346"/>
        <w:gridCol w:w="2614"/>
        <w:gridCol w:w="313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Massage Chair</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973"/>
        <w:gridCol w:w="1987"/>
        <w:gridCol w:w="313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Oral appliance and guard</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$791.00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All of these expenses, with the exception of the oral appliance and the Botox prescription, relate to expenses incurred in 2000-2001. I have concluded that the plaintiff is entitled to be reimbursed for the above expenses. She is also entitled to be reimbursed for her transportation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have concluded that the plaintiff is entitled to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823"/>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56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income-earning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56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 - in-trust claim</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behalf of Danuse Svarovsky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$ 7,200.00</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 - medication,</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mouth guard, user fees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$ 2,301.77</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56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 - transportation</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appointments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$ 2,779.46</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I have reviewed this overall award of $105,281.23 in light of all of the evidence in this case. I conclude that this is a fair and reasonable sum in a case where the plaintiff has clearly suffered some injuries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but has failed to prove she suffered damages to the extent she claims, and has failed to take reasonable steps to achieve maximum recovery within a reasonable period of time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Subject to any submissions by counsel, the plaintiff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RUSSELL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30, 2007.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Corrigendum to the Reasons for Judgment issued advising that on the first page of the Reasons for Judgment, the name of the first Defendant should read "Davinder Singh Mann", not "Davinder Singh Mannand".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18,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Madam Justice L. Russell dated August 30, 2007 have been edited.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On the front page, Counsel for the Defendants should read as: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"A. Burnett"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Nayyar v. Manufacturers Life Insurance Co. (c.o.b. Manulife Financial), [2010] B.C.J. No. 2200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S043024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2200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2010 BCSC 1588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[2011] I.L.R. I-5073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773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2010 CarswellBC 3048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Annu Nayyar, Plaintiff, and Manufacturers Life Insurance Company/La Compagne d'Assurance Manufactures, Carrying on business as Manulife Financial and Costco Wholesale Canada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22"/>
      <w:bookmarkEnd w:id="143"/>
      <w:r>
        <w:rPr>
          <w:rFonts w:ascii="arial" w:eastAsia="arial" w:hAnsi="arial" w:cs="arial"/>
          <w:b/>
          <w:color w:val="000000"/>
          <w:sz w:val="20"/>
          <w:lang w:val="en-US" w:eastAsia="en-US" w:bidi="ar-SA"/>
        </w:rPr>
        <w:t>Civil litigation — Civil procedure — Trials — Severance of issues or parties — Application by defendant insurers to sever the plaintiff's allegations of bad faith from her claim for breach of contract allowed — The delay and cost of running a second trial were insufficient considerations to outweigh the prejudice to the defendant Manulife facing disclosure of solicitor/client communications — The threat of suicide on the part of the plaintiff underscored the need to determine without delay the plaintiff's claim for entitlement to benefits — Interlocutory proceedings concerning her bad faith allegations would delay the commencement of the trial — Litigating her bad faith allegations would add to the parties'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Practice and procedure — Application by defendant insurers to sever the plaintiff's allegations of bad faith from her claim for breach of contract allowed — The delay and cost of running a second trial were insufficient considerations to outweigh the prejudice to the defendant Manulife facing disclosure of solicitor/client communications — The threat of suicide on the part of the plaintiff underscored the need to determine without delay the plaintiff's claim for entitlement to benefits — Interlocutory proceedings concerning her bad faith allegations would delay the commencement of the trial — Litigating her bad faith allegations would add to the parties'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20"/>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insurers to sever the plaintiff's allegations of bad faith from her claim for breach of contract. In the underlying claim, the plaintiff alleged the defendant insurers breached a contract by failing to pay disability benefits. She also alleged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allegations of bad faith concerned the defendants' corporate strategy and post-litigation conduct, including roughly 20 allegations, including breaches of the Insurance Act, failing to advise the plaintiff of the applicable limitation period for bringing an action against Manulife, etc. The plaintiff also claimed punitive damages. The defendant, Manufacturers Life Insurance Co., adduced some evidence that it would be required to disclose some or all of its solicitor/client communications to defend the allegations of bad faith. The plaintiff opposed the application, claiming prejudice on the grounds of delay, the cost of running a second trial, and her tendency toward suicide.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5" w:name="Holdings of Court_15"/>
            <w:bookmarkEnd w:id="14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other cases of a similar or identical nature, the court had severed a bad faith claim from other claims and permitted the former to be tried later in the event of a plaintiff's success on the breach of contract claim. Although Manulife failed to show severance in a case such as this, involving disability policies, was an automatic rule, severance was appropriate in the circumstances. Delay and the cost of running a second trial were the natural consequences of a severance order. In prior decisions, the court viewed them as insufficient to outweigh the prejudice to a party that faced disclosure of solicitor/client communications. The submissions concerning the spectre of the plaintiff's suicidal tendencies ignored the fact that the plaintiff was presently receiving disability benefits, and the fact that her claim for breach of contract concerned specific periods of disability between 2002 and 2009. The threat of suicide underscored the need to determine without delay the plaintiff's claim for entitlement to benefits. Interlocutory proceedings concerning her bad faith allegations would prolong interlocutory proceedings and delay the commencement of the trial. Litigating her bad faith allegations would also add to the parties' costs. The bad faith claim should be severed and tried at a later date if the plaintiff was successful with her breach of contract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Legislation Cited_9"/>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Act, RSBC 1996, CHAPTER 226, s. 87, s. 166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7" w:name="Counsel_22"/>
      <w:bookmarkEnd w:id="1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behalf of the Plaintiff: S. Nayyar.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Manufacturers Life Insurance Company: J.A. Fishman.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Costco Wholesale Canada Ltd.: H.H. Van Ommen, J. Cytrynbaum.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22"/>
      <w:bookmarkEnd w:id="148"/>
      <w:r>
        <w:pict>
          <v:line id="_x0000_s1135"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P.W. WALKER J. (orally)"/>
            <w:bookmarkEnd w:id="149"/>
            <w:r>
              <w:rPr>
                <w:rFonts w:ascii="arial" w:eastAsia="arial" w:hAnsi="arial" w:cs="arial"/>
                <w:b/>
                <w:color w:val="000000"/>
                <w:sz w:val="30"/>
                <w:lang w:val="en-US" w:eastAsia="en-US" w:bidi="ar-SA"/>
              </w:rPr>
              <w:t>P.W. WALKER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to sever the plaintiff's allegations of bad faith from her claim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Nature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 for breach of contract is in respect of the payment of disability benefits. It is set out at paras. 5 - 8 of the second amended statement of claim as further amended by my Order made October 6, 2010:</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with Manulife was a contract for the benefits of the Plaintiff and Costco has breached its fiduciary duty to the Plaintiff by failing to bring an action for the benefit of the Plaintiff or alternatively in failing to warn the Plaintiff of the applicable limitation periods under the contract with Manulife.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or in the alternative Manulife acted as agent for Costco in accessing the Plaintiff's claim for disability insurance, and the Plaintiff says that Manulife was negligent in its assessment of the Plaintiff's claim, and is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alternatively in breach of contract.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1994, the Plaintiff by reason of sickness became wholly and continuously disabled from performing her regular work for Costco, and remains totally disabled, pursuant to the terms of the contract, from performing any work.</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applied for long-term disability benefits from Manulife in or about June 2000, and received long-term disability benefits from Manulife until on or about June 23, 2002 when Manulife denied her further benefits. The Plaintiff was entitled to be paid benefits and was not paid from June 24, 2002 until January 11, 2004. The Plaintiff was also denied disability benefits by Manulife for the following periods of time for which she was entitled to be paid: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12, 2004 - August 29, 2004;</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15 - 17, 2004;</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20, 2006 - July 31, 2006;</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23, 2007 - January 13, 2008;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6 - 8,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includes allegations of bad faith that concern the defendants' corporate strategy and post-litigation conduct. They are set out in paras. 10, 12, 15, 16 and 17 of the second amended statement of claim:</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Defendants have acted in bad faith, or with a lack of good faith. The particulars of the bad faith of the Defendants include: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Section 87 of the Insurance Act;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Section 166 of the Insurance Act;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in writing, or at all, of the applicable limitation period for bringing an action against Manulife;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pay benefits;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investigate the Plaintiff's circumstances;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an independent medical examination to determine whether or not the Plaintiff was totally disabled;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a proper independent medical examination from a doctor whose specialty includes the type or types of ailments that the Plaintiff suffers from;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plaintiff to prove her medical condition on the basis of objective medical evidence, when such was not required by the policy;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handling the Plaintiff's claim in a claims department run by Manulife, other than one in British Columbia, when Manulife knew that it would be inconvenient for the Plaintiff to communicate with a distant city and when Manulife further knew that it would be difficult for any lawyer hired by the Plaintiff to pursue Manulife outside of British Columbia;</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promising the Plaintiff that it would conduct an internal appeal of the decision to deny benefits, but failed to conduct any internal appeal and failed to advise the Plaintiff that it was not acting in good faith with respect to the promised appeal, or alternatively, in allowing the same people to conduct the appeal that declined the claim initially;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deliberately, or in the alternative, recklessly creating a corporate strategy to create a climate where the Plaintiff's claim would be dealt with in bad faith;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particulars of the corporate strategy which resulted in the climate referred to in paragraph 10(k) generally and with respect to the Plaintiff's claim are as follows:</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hiring claims adjudicators with little formal education;</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no or inadequate training for claims adjudicators;</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no or inadequate training for the claims adjudicators in the principles of good faith dealings;</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no or inadequate training in ethical considerations in claims adjudication;</w:t>
      </w:r>
    </w:p>
    <w:p>
      <w:pPr>
        <w:numPr>
          <w:numId w:val="11"/>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offering to pay or actually paying bonuses to claims adjudicators where the criteria for obtaining the bonus include:</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responding to letters and telephone calls promptly;</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notes on the claim file promptly and recording information promptly;</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corresponding with the insured and others promptly;</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freeing up the reserves created by the Plaintiff's claim;</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success of the Defendants</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the claims adjudicator involved with the Plaintiff's claim excessive case loads such that it was impossible to achieve the objectives as set out in paragraphs 10(l)(v)A to C above, without denying claims improperly;</w:t>
      </w:r>
    </w:p>
    <w:p>
      <w:pPr>
        <w:numPr>
          <w:numId w:val="1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encouraging the claims adjudicators, with financial incentives, to become share holders in Manulife;</w:t>
      </w:r>
    </w:p>
    <w:p>
      <w:pPr>
        <w:numPr>
          <w:numId w:val="1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encouraging claims adjudicators to think about the financial health of Manulife when considering disability claims;</w:t>
      </w:r>
    </w:p>
    <w:p>
      <w:pPr>
        <w:numPr>
          <w:numId w:val="18"/>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telling claims adjudicators that the financial health of Manulife was directly affected by the reserves tied up in disability claims;</w:t>
      </w:r>
    </w:p>
    <w:p>
      <w:pPr>
        <w:numPr>
          <w:numId w:val="19"/>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instructing claims adjudicators in methods to free up the reserves connected to disability claims, which methods included terminating the claims;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termination ratios for disability claims which must be met or exceeded to have a positive effect on the bonus;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have a policy of reviewing claims files which were terminated by the claims adjudicators, in the absence of an appeal;</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having a policy of vigorously reviewing the handling of claims which were approved by the claims adjudicators;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unethically and arrogantly humiliating and bullying the Plaintiff's representative agent on many occasions;</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carrying on with examinations for discovery of the Plaintiff after being told that the Plaintiff was in a psychologically vulnerable and unfairly suggestive state of mind;</w:t>
      </w:r>
    </w:p>
    <w:p>
      <w:pPr>
        <w:numPr>
          <w:numId w:val="3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demanding documents which they already have in their possession to prolong the legal process;</w:t>
      </w:r>
    </w:p>
    <w:p>
      <w:pPr>
        <w:numPr>
          <w:numId w:val="3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contributing to ongoing stress and suffering of the Plaintiff and the Plaintiff's family;</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allowing claims adjudicators to use reference works such as The Medical Disability Advisor, (4th Ed), by Presley Reed, MD, or similar reference works, in preference to the medical opinion expressed by the Plaintiff's doctor's opinions;</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ignoring the Plaintiff's request to schedule the Plaintiff's Independent Medical Examination in Delta or Surrey, close to where she resides, when Manulife knew that it would be a hardship for the Plaintiff to go to another city;</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reschedule an Independent Medical Examination for the Plaintiff;</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intentionally, recklessly or negligently refusing to acknowledge the true nature of the Plaintiffs medical condition;</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devising and carrying out strategies to humiliate and systematically coerce the Plaintiff to go back to work for part time periods and short hours, including efforts to make the Plaintiff fear the loss of her employment;</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coercing the Plaintiff to return to work, as pleaded in paragraph 10(q), at a workplace where the co-workers were aware of this ongoing lawsuit, causing the Plaintiff to suffer humiliation and discrimination;</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intentionally, recklessly, or negligently, in light of what Manulife knew or ought reasonably to have known, having regard to its intimate knowledge of the Plaintiff's and her family's financial and emotional status, causing pecuniary losses and mental distress to the Plaintiff and her family;</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to deny the Plaintiff's claim in flagrant breach of its duties and obligations owed to her and behaving toward her in a high-handed, contumacious and an arrogant fashion by ignoring the conclusions and opinions of her treating physicians.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bad faith or failure to act in good faith, breach of contract, and breach of statutory duty, the Plaintiff has suffered loss, damage and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punitive damages as against Manulife is based upon the allegations of bad faith as set out herein, and is further based on Manulife's conduct in denying the Plaintiffs benefits to which she is and was entitled when it knew or ought to have known that such denial of benefits would create great hardship for the Plaintiff.</w:t>
      </w:r>
    </w:p>
    <w:p>
      <w:pPr>
        <w:numPr>
          <w:numId w:val="3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says that Manulife's failure, refusal or neglect to pay benefits occurred as a result of a deliberate or reckless corporate strategy to deny the Plaintiff's claim improperly and the particulars of the conduct which the Plaintiffs say should result in an award of punitive damages are set out in paragraph 10.</w:t>
      </w:r>
    </w:p>
    <w:p>
      <w:pPr>
        <w:numPr>
          <w:numId w:val="3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of contract and bad faith of the Defendants caused or materially contributed to the Plaintiff's personal bankruptcy. The bankruptcy had a long term and continuing effect upon her past and future income, including her ability to make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Manufacturers Life Insurance Company, adduced some evidence (albeit slim) that it will be required to disclose some or all its solicitor/client communications to defend the allegations of bad faith. I do not use the term "slim" in a critical way; the defendant concedes that it did not wish to say more about the nature of its solicitor/client communications for fear of having been taken to have waived that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Law and its Application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other cases of a similar or identical nature, this Court has severed a bad faith claim from other claims and permitted the former to be tried later in the event of a plaintiff's success on the breach of contract claim: </w:t>
      </w:r>
      <w:r>
        <w:rPr>
          <w:rFonts w:ascii="arial" w:eastAsia="arial" w:hAnsi="arial" w:cs="arial"/>
          <w:i/>
          <w:color w:val="000000"/>
          <w:sz w:val="20"/>
          <w:lang w:val="en-US" w:eastAsia="en-US" w:bidi="ar-SA"/>
        </w:rPr>
        <w:t>Stevens v. Sun Life Assurance Co. of Canada</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2004 BCSC 468</w:t>
        </w:r>
      </w:hyperlink>
      <w:r>
        <w:rPr>
          <w:rFonts w:ascii="arial" w:eastAsia="arial" w:hAnsi="arial" w:cs="arial"/>
          <w:color w:val="000000"/>
          <w:sz w:val="20"/>
          <w:lang w:val="en-US" w:eastAsia="en-US" w:bidi="ar-SA"/>
        </w:rPr>
        <w:t xml:space="preserve">, 47 C.P.C. (5th) 326; </w:t>
      </w:r>
      <w:r>
        <w:rPr>
          <w:rFonts w:ascii="arial" w:eastAsia="arial" w:hAnsi="arial" w:cs="arial"/>
          <w:i/>
          <w:color w:val="000000"/>
          <w:sz w:val="20"/>
          <w:lang w:val="en-US" w:eastAsia="en-US" w:bidi="ar-SA"/>
        </w:rPr>
        <w:t>Rehmat v. Transamerica Life Canada</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2009 BCSC 495</w:t>
        </w:r>
      </w:hyperlink>
      <w:r>
        <w:rPr>
          <w:rFonts w:ascii="arial" w:eastAsia="arial" w:hAnsi="arial" w:cs="arial"/>
          <w:color w:val="000000"/>
          <w:sz w:val="20"/>
          <w:lang w:val="en-US" w:eastAsia="en-US" w:bidi="ar-SA"/>
        </w:rPr>
        <w:t xml:space="preserve">, 68 C.P.C. (6th) 45; and </w:t>
      </w:r>
      <w:r>
        <w:rPr>
          <w:rFonts w:ascii="arial" w:eastAsia="arial" w:hAnsi="arial" w:cs="arial"/>
          <w:i/>
          <w:color w:val="000000"/>
          <w:sz w:val="20"/>
          <w:lang w:val="en-US" w:eastAsia="en-US" w:bidi="ar-SA"/>
        </w:rPr>
        <w:t>Ennis v. RBC Life Insurance Co.</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2007 BCSC 1131</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53 C.C.L.I. (4th) 270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Manulife has not persuaded me that severance in a case such as this, involving disability policies, is an automatic rule (which Manulife urged upon me in submissions), severance is appropriate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primary factor that underlies decisions of this Court to order severance of bad faith claims is the need to avoid the risk of disclosure of solicitor/client communications where the plaintiff has yet to prove its breach of contract claim: </w:t>
      </w:r>
      <w:r>
        <w:rPr>
          <w:rFonts w:ascii="arial" w:eastAsia="arial" w:hAnsi="arial" w:cs="arial"/>
          <w:i/>
          <w:color w:val="000000"/>
          <w:sz w:val="20"/>
          <w:lang w:val="en-US" w:eastAsia="en-US" w:bidi="ar-SA"/>
        </w:rPr>
        <w:t>Stevens</w:t>
      </w:r>
      <w:r>
        <w:rPr>
          <w:rFonts w:ascii="arial" w:eastAsia="arial" w:hAnsi="arial" w:cs="arial"/>
          <w:color w:val="000000"/>
          <w:sz w:val="20"/>
          <w:lang w:val="en-US" w:eastAsia="en-US" w:bidi="ar-SA"/>
        </w:rPr>
        <w:t xml:space="preserve"> at para. 41; and </w:t>
      </w:r>
      <w:r>
        <w:rPr>
          <w:rFonts w:ascii="arial" w:eastAsia="arial" w:hAnsi="arial" w:cs="arial"/>
          <w:i/>
          <w:color w:val="000000"/>
          <w:sz w:val="20"/>
          <w:lang w:val="en-US" w:eastAsia="en-US" w:bidi="ar-SA"/>
        </w:rPr>
        <w:t>Wonderful Ventures Ltd. v. Maylam,</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2001 BCSC 775</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91 B.C.L.R. (3d) 319</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each case, the question of whether to order severance is a matter of weighing the prejudice to each party. There may be cases where the court is of the view that there is no merit to a party's assertion that solicitor/client communications will be revealed if severance is not ordered given the specific nature of the allegations of bad faith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this case, the plaintiff has put the post-litigation conduct of the defendants into issue. In </w:t>
      </w:r>
      <w:r>
        <w:rPr>
          <w:rFonts w:ascii="arial" w:eastAsia="arial" w:hAnsi="arial" w:cs="arial"/>
          <w:i/>
          <w:color w:val="000000"/>
          <w:sz w:val="20"/>
          <w:lang w:val="en-US" w:eastAsia="en-US" w:bidi="ar-SA"/>
        </w:rPr>
        <w:t>Stuart v. Manufacturers Life Insurance Co.</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2004 BCSC 501</w:t>
        </w:r>
      </w:hyperlink>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10 C.C.L.I. (4th) 142</w:t>
        </w:r>
      </w:hyperlink>
      <w:r>
        <w:rPr>
          <w:rFonts w:ascii="arial" w:eastAsia="arial" w:hAnsi="arial" w:cs="arial"/>
          <w:color w:val="000000"/>
          <w:sz w:val="20"/>
          <w:lang w:val="en-US" w:eastAsia="en-US" w:bidi="ar-SA"/>
        </w:rPr>
        <w:t xml:space="preserve">, Master Groves (as he then was) dealt with a case with facts very similar to those in the case at bar. The specific allegations of bad faith made in </w:t>
      </w:r>
      <w:r>
        <w:rPr>
          <w:rFonts w:ascii="arial" w:eastAsia="arial" w:hAnsi="arial" w:cs="arial"/>
          <w:i/>
          <w:color w:val="000000"/>
          <w:sz w:val="20"/>
          <w:lang w:val="en-US" w:eastAsia="en-US" w:bidi="ar-SA"/>
        </w:rPr>
        <w:t>Stuart</w:t>
      </w:r>
      <w:r>
        <w:rPr>
          <w:rFonts w:ascii="arial" w:eastAsia="arial" w:hAnsi="arial" w:cs="arial"/>
          <w:color w:val="000000"/>
          <w:sz w:val="20"/>
          <w:lang w:val="en-US" w:eastAsia="en-US" w:bidi="ar-SA"/>
        </w:rPr>
        <w:t xml:space="preserve"> are set out in para. 8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new paragraphs 19 through 21 in the amended statement of claim read as follows:</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owe a duty to the plaintiff to act in good faith and fair dealings when considering his claim for long-term disability benefits.</w:t>
      </w:r>
    </w:p>
    <w:p>
      <w:pPr>
        <w:numPr>
          <w:numId w:val="3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good faith and fair dealing has been breached by the defendant as follows:</w:t>
      </w:r>
    </w:p>
    <w:p>
      <w:pPr>
        <w:numPr>
          <w:numId w:val="3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Performing a perfunctory assessment of the plaintiff's condition</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thoroughly investigate the foundation for its denial of the disability claim of the plaintiff</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assess the claim in light of further information provided and continuing denial of the plaintiff's claim and condition</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consider the plaintiff was ill and not assisted by his employer during the claims process</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Seeking support to deny the plaintiff's claim rather than fairly assessing it</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information submitted to form questions and not inquiring further and the use of form questionnaires</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investigate and appreciate the doctor's report originally provided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Implementing directives or policies to minimize disability claims and reduce costs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Denying coverage to the plaintiff under long-term disability policy when the circumstances and the plaintiff's disabilities were exactly the same as the circumstances the defendant approved under the short-term policy</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appreciate the impact of the denial on the plaintiff who suffers severe depression.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breach of the duty of good faith and fair dealings in respect of the plaintiff's claim, the plaintiff has suffered loss and damages including aggravated damages and continues to suffer such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allegations of bad faith made by Ms. Nayyar track those made in </w:t>
      </w:r>
      <w:r>
        <w:rPr>
          <w:rFonts w:ascii="arial" w:eastAsia="arial" w:hAnsi="arial" w:cs="arial"/>
          <w:i/>
          <w:color w:val="000000"/>
          <w:sz w:val="20"/>
          <w:lang w:val="en-US" w:eastAsia="en-US" w:bidi="ar-SA"/>
        </w:rPr>
        <w:t>Stuart</w:t>
      </w:r>
      <w:r>
        <w:rPr>
          <w:rFonts w:ascii="arial" w:eastAsia="arial" w:hAnsi="arial" w:cs="arial"/>
          <w:color w:val="000000"/>
          <w:sz w:val="20"/>
          <w:lang w:val="en-US" w:eastAsia="en-US" w:bidi="ar-SA"/>
        </w:rPr>
        <w:t xml:space="preserve"> almost word for word. Although the allegations in </w:t>
      </w:r>
      <w:r>
        <w:rPr>
          <w:rFonts w:ascii="arial" w:eastAsia="arial" w:hAnsi="arial" w:cs="arial"/>
          <w:i/>
          <w:color w:val="000000"/>
          <w:sz w:val="20"/>
          <w:lang w:val="en-US" w:eastAsia="en-US" w:bidi="ar-SA"/>
        </w:rPr>
        <w:t>Stuart</w:t>
      </w:r>
      <w:r>
        <w:rPr>
          <w:rFonts w:ascii="arial" w:eastAsia="arial" w:hAnsi="arial" w:cs="arial"/>
          <w:color w:val="000000"/>
          <w:sz w:val="20"/>
          <w:lang w:val="en-US" w:eastAsia="en-US" w:bidi="ar-SA"/>
        </w:rPr>
        <w:t xml:space="preserve"> that concerned litigation conduct were raised in correspondence and not in the statement of claim, Master Groves found this sufficient to justify an order of severance. In the present case, Ms. Nayyar's allegations of litigation misconduct are made in the second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Master Groves remarked on the effect that allegations of litigation conduct have on a severance application at paras. 19 - 21: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Frankly, it seems to me that once the post-litigation conduct of the defendant is raised in a claim for damages resulting from a breach of duty of good faith, logic suggests that the conduct of counsel and the advice of counsel will likely come into play by the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These cases, in my view, stand for the proposition that in balancing the prejudice considerable weight must be given to the very real danger that a breach of confidential communication between client and counsel could result if the case is continued to be tried as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end result, in my view, these cases suggest that the plaintiff, perhaps unfortunately, has a considerable hill to climb to tip the prejudicial balance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prejudice that Ms. Nayyar points to is delay and the cost of running a second trial. These are the natural consequences of a severance order. In previous decisions, this Court has viewed these consequences as insufficient to outweigh the prejudice to a party that faces disclosure of solicitor/client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other aspect of prejudice raised on behalf of Ms. Nayyar by her husband is her tendency towards suicide. The spectre of her suicidal tendencies has been raised to support the submissions that there should be no severance order since it will result in delay, and that Ms. Nayyar should not need to face the prospect of running two separate trials. Ms. Nayyar's husband, who has been acting as her litigation agent until this time, pointed to what he described as the defendants' corporate strategy to harass and harm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these submissions ignore the fact that the plaintiff is presently receiving disability benefits. It also ignores the fact that Ms. Nayyar's claim for breach of contract, set out in para. 8 of her second amended statement of claim, concerns specific periods of disability between 2002 and 2009 (described in para. 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threat of suicide underscores the need to determine without delay the plaintiff's claim for entitlement to benefits. In my opinion, interlocutory proceedings concerning her bad faith allegations will prolong interlocutory proceedings and delay the commencement of the trial. Litigation of her bad faith allegations will also add to the costs faced by each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conclude that the bad faith claim should be severed and tried at a later date if the plaintiff is successful with her breach of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the bad faith claim proceeds to be tried and the defendants advance the "advice of counsel defence", then the parties will have to deal with the question of whether that defence must be formally pleaded or whether it is sufficient to argue at trial that it can be implied from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also wish to say that nothing in my decision precludes the plaintiff from leading evidence at trial to prove that some aspect of the conduct of the defendants or their agents that occurred prior to litigation constitutes an excuse for any of her acts or omissions (including Ms. Nayyar's decision not to attend at a second independent medical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Niedzialkowski v. Barnett, [2002] B.C.J. No. 1138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29 - 31, November 1 - 2,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5 - 8 and 13 - 14,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B951319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1138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772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994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772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Danuta Stanislaw Niedzialkowski, plaintiff, and Sonia Ann Barnett,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23"/>
      <w:bookmarkEnd w:id="150"/>
      <w:r>
        <w:rPr>
          <w:rFonts w:ascii="arial" w:eastAsia="arial" w:hAnsi="arial" w:cs="arial"/>
          <w:b/>
          <w:color w:val="000000"/>
          <w:sz w:val="20"/>
          <w:lang w:val="en-US" w:eastAsia="en-US" w:bidi="ar-SA"/>
        </w:rPr>
        <w:t>Damage awards — Injury and death — Body injuries — Back, sprains, tears and soft tissue injuries — Neck injuries — Soft tissue injuries — Psychological injuries — Depression — General damage awards — Aggravation of pre-existing condition — Loss of earning potential — Special damage awards.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1" w:name="Case Summary_21"/>
            <w:bookmarkEnd w:id="1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Niedzialkowski for damages respecting injuries she suffered when Barnett's vehicle rear-ended the car she was driving. Barnett admitted liability but argued that Niedzialkowski was affected for no longer than a year by her injuries, and that her pre-existing condition was a major contributing factor. Niedzialkowski had worked only part-time since coming to Canada in the mid-1980s. At the time of the accident in 1994, she was 43 years old, and suffered from depression, anxiety and stress because of a marriage breakdown, assault by her spouse, and the termination of her employment. She claimed that because of the soft-tissue injuries she acquired in the accident, she still suffered from dizziness, chronic pain, fatigue, depression, and related problems. She had trained as a cook after the accident but did not take employment in that field. She claimed non-pecuniary damages, damages for past loss of income, lost earning capacity damages, and special damages for physiotherapy and massage therapy.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2" w:name="Holdings of Court_16"/>
            <w:bookmarkEnd w:id="15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Barnett was to pay Niedzialkowski $60,000 in non-pecuniary damages, $20,000 for past loss of income, and $4,000 in special damages. Niedzialkowski's pain was real and her psychological problems were caused or contributed to by the collision. However, her pre-existing problems were active at the time and were the sole cause of any loss of future earning capacity. There was substantial evidence that the debilitating effect of the pre-existing condition would have significantly increased over time. On the same basis, only a portion of the special damages claimed was allowed.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December 20, 2002. See </w:t>
            </w:r>
            <w:hyperlink r:id="rId476" w:history="1">
              <w:r>
                <w:rPr>
                  <w:rFonts w:ascii="arial" w:eastAsia="arial" w:hAnsi="arial" w:cs="arial"/>
                  <w:i/>
                  <w:color w:val="0077CC"/>
                  <w:sz w:val="18"/>
                  <w:u w:val="single"/>
                  <w:shd w:val="clear" w:color="auto" w:fill="FFFFFF"/>
                  <w:lang w:val="en-US" w:eastAsia="en-US" w:bidi="ar-SA"/>
                </w:rPr>
                <w:t>[2002] B.C.J. No. 1138</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3" w:name="Counsel_23"/>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Andrew Z. Wlodyka and Alistair Rees-Thomas, for the plaintiff. Patrice M.C. Abrioux and Vince Critchley,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4" w:name="Judgment_23"/>
      <w:bookmarkEnd w:id="154"/>
      <w:r>
        <w:pict>
          <v:line id="_x0000_s1139"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5" w:name="RALPH J."/>
            <w:bookmarkEnd w:id="155"/>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rush hour traffic in the late afternoon of September 2, 1994, Ms. Niedzialkowski, who was then 43 years old, was driving a friend's vehicle north across the Second Narrows Bridge. When the car in front of her stopped, Ms. Niedzialkowski slowed her vehicle and the defendant's vehicle rear-ended Ms. Niedzialkowski's vehicle. Ms. Niedzialkowski testified that the rear-ending of her vehicle consisted of two distinct impacts upon her vehicle. Ms. Niedzialkowski was injured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admits liability but disputes the nature and extent of the injuries which Ms. Niedzialkowski says she suffered. The issues raised in the trial relate to the nature and extent of those injuries and the resulting damages to which Ms. Niedzialkowski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vehicle driven by Ms. Niedzialkowski was a write-off as the estimated damage of $1800 was approximately the same amount as the value of the vehicle. The estimate of the damage to the defendant's vehicle was approximately $2600.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Following the accident Ms. Niedzialkowski was taken to Lions Gate Hospital by ambulance. She was given pain medications and released later that day. The following day Ms. Niedzialkowski was vomiting and experienced pain in her head, neck, back and right leg. She was taken to Burnaby General Hospital where she stayed for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Niedzialkowski saw Dr. Ciszak, her family doctor, on September 6, 1994, and on a number of occasions after that up to November 28, 1994. Dr. Ciszak did not give evidence in the trial but his clinical records were admitted. Dr. Ciszak recorded on September 6, 1994, that Ms. Niedzialkowski was walking with difficulty, could not place full weight on her right leg, and was suffering tenderness between her shoulder blades. In subsequent visits to Dr. Ciszak, Ms. Niedzialkowski complained of continuing pain in the area of her neck, back and right leg. She received prescriptions for pain medication and was referred for physiotherapy. On September 12 Dr. Ciszak recorded that Ms. Niedzialkowski had experienced "remarkable improvement" and on September 23 that her pain was worse but that objectively she appeared better. On November 28, 1994, Dr. Ciszak recorded that Ms. Niedzialkowski had chronic pain syndrome and no focal signs of specific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accident Ms. Niedzialkowski had begun to see Dr. Bojanowska-Moore, a general practitioner, for medical concerns unrelated to the accident. Starting in December 1994 Ms. Niedzialkowski consulted Dr. Bojanowska-Moore about her injuries from the accident. Ms. Niedzialkowski's complaints were of pain in her neck, shoulders and back, headaches, dizziness, nausea, pressure and pain in her chest, insomnia, abdominal discomfort, problems with memory and concentration, and feelings of depression. Ms. Niedzialkowski linked the onset of all of these problems to the date of the accident on September 2,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Bojanowska-Moore prescribed anti-inflammatory medications and massage therapy. The records indicate that Ms. Niedzialkowski received 68 massage therapy treatments in 1995 and a further 37 treatments from January 1996 to December 1998. In addition, Ms. Niedzialkowski was referred to and attended the Canadian Back Institute from May 16 - July 19, 1995. At trial Ms. Niedzialkowski said that the Institute's program made her condition worse but her evidence is not supported by the Institute's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Bojanowska-Moore also referred Ms. Niedzialkowski to a number of specialists. She was seen by specialists in physical medicine and rehabilitation, endocrinology, opthamology, internal medicine and rheumatology, and psychiatry. I do not think that it is necessary for the purposes of this decision to review to the opinions of each specialist, but reference to some of them will be made further in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important to note, however, that Ms. Niedzialkowski continues to receive treatment for pain that she attributes to the 1994 accident. She says that she continues to experience pain in her head, her chest, between her shoulder blades, and in the area of her hips. In addition she says that she has breathing problems and a choking sensation in her throat. The treatment Ms. Niedzialkowski receives is directed to both physical and psychological problems. I will deal first with the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One of the specialists to whom Ms. Niedzialkowski was referred is Dr. W. Schamberger. Dr. Schamberger is a specialist in physical and rehabilitation medicine. A major part of his practice relates to consultations on malalignment of the spine. He first examined Ms. Niedzialkowski on November 18, 1996, and has done so on a number of occasions since then. It is his opinion that in the accident Ms. Niedzialkowski suffered a whiplash injury to her neck resulting in a sprain of the neck and upper back muscles. He is also of the opinion that because Ms. Niedzialkowski's left shoulder and her pelvis were restrained by her seatbelt that the collision created torsion of her trunk on the pelvis. The maximum force of the rotation occurred in the thoracic area of Ms. Niedzialkowski's spine. He states further that this action set up a chronic increase in tension and tenderness in the neck and upper back muscles which in turn led to recurrent rotation of vertebra in the T4-5-6 region of the spine with chronic pain resulting from a persistent malalignment of the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Dr. Schamberger's opinion that with physiotherapy there have been times when Ms. Niedzialkowski's spine and pelvis have been restored to alignment but they have not remained stable. In 1997 he was of the opinion that it would take approximately one to two years for stability to be achieved but that has not turned out to be the case. Dr. Schamberger also noted at that time that Ms. Niedzialkowski's recovery would depend "in large part on improvement of her psychological status, particularly her learning to avoid to mis-interpret or amplify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Schamberger has referred Ms. Niedzialkowski for physiotherapy to assist her with her breathing problems. In consultation with Dr. Schamberger, Mr. Oldham, the physiotherapist, has provided 36 treatments directed to assisting Ms. Niedzialkowski with her breathing problems between September 29, 1997 and the date of the trial. Ms. Niedzialkowski says that both Dr. Schamberger and Mr. Oldham have provided her with treatment which has reduced the severity and the extent of the pain she has been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G.E. Price, a specialist in rheumatology examined Ms. Niedzialkowski in November 1997, and also reviewed a large number of medico-legal reports and clinical records. In his report filed in this trial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however my view that the chronic pain complaints are not based on physical damage or disease. She showed marked pain behaviour and had become obsessed with pain and perceived effects of the accident.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at my examination she continued to express a large number of symptoms and I cannot see that she is any different after all the treatments she has received in the last few years from a variety of sources, and after reading all the reports I find she is no better and may be worse than she was prior to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G.H. Hirsch is a specialist in physical medicine and rehabilitation who examined Ms. Niedzialkowski on June 2, 1999, and prepared a report at the request of counsel for the defendant. He also gave evidence at the trial. In his report Dr. Hirsch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 assessment was characterized by overprotective behaviour out of proportion to the demonstrable organic pathology. Because of the pain magnifying features, the clinical assessment was compromised. Nevertheless, I was unable to identify any objective clinical evidence of either nerve root irritation or of neurological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Dr. Hirsch said that in his examination of Ms. Niedzialkowski he did not find any rotational abnormality in the T4 - T5 area of the spine. In addition he said that a small amount of malalignment would not in his opinion lead to the degree of physical complaints made by Ms. Niedzialkowski.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commenting on Dr. Hirsch's report, Dr. Schamberger stated that he suspected that Ms. Niedzialkowski's pelvis was again out of alignment at the time she was seen by Dr.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Siemion Altman is a psychiatrist who has been treating Ms. Niedzialkowski since 1994 and continues to see her at one to two month intervals. Although he did not see Ms. Niedzialkowski for the first time until after the accident, arrangements for the first appointment had been made prior to the accident. The office of Dr. Bojanowska-Moore made the appointment at the request of Ms. Niedzialkowski. Prior to the accident Ms. Niedzialkowski had been experiencing depression and anxiety that appeared to be caused by stress in her employment and the ending of an abusive relationship with her husband whom she had married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Dr. Altman first saw Ms. Niedzialkowski he diagnosed her condition as an adjustment disorder with depressed and anxious mood. It was his opinion that the accident triggered a recurrence of the previous symptoms but he expected that her condition would improve. By 1996 the hoped-for improvement did not occur and Dr. Altman found Ms. Niedzialkowski to be in considerable distress. He prescribed antidepressant medications which did not bring about an improvement in Ms. Niedzialkowski's condition. At that time Dr. Altman described Ms. Niedzialkowski as suffering from pain disorder associated with both psychological factors and a general medical condition. Pain disorder is described in the Diagnostic and Statistical Manual of Mental Disorders, Fourth edition, (DSM-IV-TR) as a type of somatoform disorder. The DSM-IV-TR states that pain disorder is "characterized by pain as the predominant focus of clinical attention" and that "psychological factors are judged to have an important role in its onset, severity, exacerbation, or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I understand Dr. Altman's evidence, he described Ms. Niedzialkowski's condition as one where, because she is convinced that her pain is physically caused, she relates its cause to the accident. He noted, however, that with somatoform disorders there is no diagnosable general medical condition to fully account for the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R.J. O'Shaughnessy is a psychiatrist who examined Ms. Niedzialkowski on April 17, 1996, at the request of counsel for the defendants. On April 23, 1996, he wrote a report on that examination. He wrote a second report on April 25, 2000, in which he reviewed additional medical reports and clinical records and surveillance videotapes made in February and March 2000. In his April 23, 1996, report he concurred with Dr. Altman that Ms. Niedzialkowski had suffered an adjustment disorder with anxiety and depression related to several severe psychosocial stressors before the accident. He stated further that, "Certainly it would be predicted that the accident itself would be yet a further stressor that would worsen her symptoms and certainly her subjective report is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O'Shaughnessy also agreed with Dr. Altman that Ms. Niedzialkowski suffered a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referring to the videotapes in his report of September 25, 2000, Dr. O'Shaughnessy said he was struck by his observation of the surveillance video tapes that Ms. Niedzialkowski did not demonstrate the same type of pain behaviour or restriction in motions that had been noted by her examining physicians. He went on to state that "The apparent discrepancy in her behaviour, complaints, and physical activity between when she is being formally assessed for medico-legal purposes versus when she is being viewed without her awareness is not explained by any psychiatric grounds." Dr. O'Shaughnessy was not cross-examined on his review of the videotapes.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many of the medical experts who have examined Ms. Niedzialkowski have had difficulty in assessing the nature and extent of the psychological and physical injuries suffered by her. In what I consider to be typical of observations of Ms. Niedzialkowski's physical presentation made by number of doctors to whom she was referred (and recognizing that causation is for the court to determine) is the comment of Dr. Rhonda Shuckett, a specialist in internal medicine and rheumatology: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non-organic pain findings in this patient and the emotional overlay make interpretation of the role of the MVA itself as the sole causative factor in her current level of altered function to be a challenge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this point it is helpful to refer to Ms. Niedzialkowski's pre-accident history. Ms. Niedzialkowski was born in Poland and emigrated to Canada in 1984. She had been employed in a steel company in Poland for 17 years. In 1969 she gave birth to a daughter in Poland. Her daughter moved to Canada and joined her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Canada, Ms. Niedzialkowski began part-time casual work as a dietary aide at Kopernik Lodge in 1985. In October 1988 she began a probationary period as a permanent part time dietary aide. The probationary period was extended and she achieved the permanent part-time status in November 1990. While at Kopernik Lodge, Ms. Niedzialkowski received various reprimands and filed various grievances in response. She was dismissed from her employment in January 1994. Ms. Niedzialkowski grieved the dismissal and a settlement was reached in which she was paid $14,000.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a four-year period during part of this time Ms. Niedzialkowski also worked part-time as the building manager of her apartment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Niedzialkowski married in June 1990 and separated three and one-half years later. It was an unhappy marriage and it was Ms. Niedzialkowski's evidence that her husband physically assaulted her during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clear that the stresses from her marriage and her job led Ms. Niedzialkowski to seek help from Dr. Ciszak and Dr. Bojanowska-Moore. Dr. Ciszak's clinical records from April 1993 through to the end of that year, and for the first half of 1994 indicate consultations on stress-related concerns for which anti-depressant medications were prescribed. In her consultation with Dr. Bojanowska-Moore in June 1994 Ms. Niedzialkowski requested a referral to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June, August and November 1993 Dr. Ciszak signed certificates to enable Ms. Niedzialkowski to take leaves of absence from her work. The reason for the absences was stated to be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Immediately after the accident in September 1994 Ms. Niedzialkowski attended a cooking course at Burnaby College. It is a 6 month course that required attendance five days each week. Ms. Niedzialkowski missed only 1 of the 123 days of the program. Her instructor gave evidence at the trial and testified that Ms. Niedzialkowski performed very well in both the theory and practice parts of the program. He said that while Ms. Niedzialkowski did complain about pain and had to sit down at times, she never really complained about the physical activities she was required to carry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Part of Ms. Niedzialkowski's cooking program required her attendance at a practicum. Ms. Niedzialkowski did her practicum at the Holiday Inn in two two-week segments in November/December 1994 and February/March 1995. Students worked 7 1/2 to 8-hour shifts. Mr. Urban, the supervising chef from the hotel gave evidence at the trial and stated that Ms. Niedzialkowski performed at a superior level. He said that he knew Ms. Niedzialkowski had been in an accident and there were times when she had to sit down and take a break. It was his evidence that Ms. Niedzialkowski was offered employment but was unsure if she could perform the physical work. She came and volunteered for one shift and informed the chef that she could not perform the job physically.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the position of the plaintiff that she suffered both physical and psychological injuries in the collision of September 2, 1994, and that those injuries are continuing. She says as well that she had no pre-existing condition which should affect her entitlement to full compensation for her injuries. She submits that the prognosis for a full recovery is guarded and that she should be awarded non-pecuniary damages, damages for past and future loss of income and for the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the position of the defendant that the plaintiff sustained certain soft-tissue injuries in the accident, but the injuries were of limited scope and any ongoing difficulties of the plaintiff beyond the first anniversary date of the accident are not attributable to it. The defendant says that the plaintiff's approach fails to give proper consideration to her "original position" and furthermore that she has failed to prove, as she must, that she desired to be free of her psychological problems. The defendant says further that the court should not accept the evidence tendered as a continuing physical cause of Ms. Niedzialkowski's pain. Accordingly, the defendant says that amount awarded for non-pecuniary damages should be modest, there should be only a small award of damages for past loss of income, claims for future loss of income and the cost of future care have not been made out, and the claim for special damages should be substantially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is not in dispute that Ms. Niedzialkowski suffered some physical injuries in the accident and that those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There are, however, two contentious issues, the first being whether the physical injuries are as extensive as those claimed by the plaintiff, the second being whether Ms. Niedzialkowski's psychological problems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evidence of there being a continuing physical cause of Ms. Niedzialkowski's pain comes from the diagnosis and treatment of Ms. Niedzialkowski by Dr. Schamberger. To some extent it is supported by the evidence of Mr. Oldham. Central to Dr. Schamberger's diagnosis is his opinion that malalignment of Ms. Niedzialkowski's spine at the T4-T5 area is the cause of her pain. While Dr. Schamberger did not see Ms. Niedzialkowski for the first time until approximately two years after the accident it is his opinion that the malalignment was caused by the collision in September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Schamberger's opinion is directly disputed in the opinion of Dr. Hirsch. By inference Dr. Schamberger's opinion is also at odds with the opinion of Dr. Price. Dr. Schamberger also recognizes that he is still searching for an effective treatment of Ms. Niedzialkowski's pain although he remains firmly of the view that his diagnosis is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Of note as well are the expert reports of many of the specialists who have examined Ms. Niedzialkowski, including Dr. Hirsch. A number of them comment on Ms. Niedzialkowski's dramatic descriptions of her pain and the apparent inconsistencies with her actual physical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his cross-examination at trial, Dr. Schamberger displayed a combative attitude and engaged in debate in such a manner as to make it very difficult to conclude that the court was being assisted by an objective expert providing a balanced assessment of Ms. Niedzialkowski's condition. In my view, Dr. Schamberger's opinion is a possible and therefore hopeful explanation of Ms. Niedzialkowski's pain. I am not satisfied, however, that it reaches the level of making it probable that this was an injury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or a condition that accounts for the pain experienced by Ms. Niedzialkowski.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also necessary to examine the evidence of Ms. Niedzialkowski's psychological problems and determine whether they were caused by the accident. The law dealing with injuries which have a psychological explanation is set out in Maslen v. Rubenstein </w:t>
      </w:r>
      <w:hyperlink r:id="rId131"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and Yoshikawa v. Yu </w:t>
      </w:r>
      <w:hyperlink r:id="rId477"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In Yoshikawa, Lambert J.A. set out at para. 12 a number of principles extracted from Maslen v. Rubenstein. They are:</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 ...</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wrongful act if the plaintiff could be expected to overcome them by his or her own inherent resources, or "will-power".</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them to end, their existence or continuation must be said to have a subjective, or internal, cause. (NOTE: I consider that this proposition must deal with the conscious mind, otherwise it seems to me to beg the question; see my first observation, later in this Part of these reasons.)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Spencer, at trial in the Maslen case, put the overall test quite correctly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 caused suffering where the psychological mechanism, whatever it is, is beyond the plaintiff's power to control and was set in motion by the defendant's fault.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determining whether Ms. Niedzialkowski's psychological problems have their cause in the defendant's unlawful conduct,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plaintiff's injuries. In Athey v. Leonati,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the Supreme Court of Canada stated that if there are tortious and non-tortious causes of a plaintiff's injuries defendants will be liable so long as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injuries beyond the de minimus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 has submitted that in addition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are other tortious causes of Ms. Niedzialkowski's loss. In particular, the defendant points to the physical assault on Ms. Niedzialkowski by her husband prior to their separation and to the grievance taken by Ms. Niedzialkowski against Kopernik Lodge following the termination of her employment there. In my view, the stress of Ms. Niedzialkowski's marriage breakdown contributed to the adjustment disorder which was present prior to the accident, but the evidence does not support a finding that the assault itself was a contributing tortious cause of her post-accident condition. Similarly, Ms. Niedzialkowski's employment stress contributed to the onset of the adjustment disorder but the evidence does not support a finding that the dismissal and subsequent grievance and its resolution constituted tortious conduct by Ms. Niedzialkowski's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Despite a careful and detailed analysis of the evidence to the contrary by counsel for the defendant, I have concluded that on the whole of the evidence Ms. Niedzialkowski has established that her pain is "real" and her psychological problems were caused or contributed to by the accident of September 2, 1994. In my view that conclusion is supported by the evidence of Dr. Altman who presented his assessment of Ms. Niedzialkowski in an even-handed and balanced manner. I recognize that, although inherent in Dr. Altman's diagnosis of pain disorder is his conclusion that Ms. Niedzialkowski's pain is not intentionally produced or feigned, it is for the court to assess the volitional nature of Ms. Niedzialkowski's pain. Despite the lack of physical evidence to explain Ms. Niedzialkowski's pain, I am satisfied that she genuinely experienced a high level of pain and that it has caused her considerable distress. I think that this is further supported in the reports of Dr.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Before assessing damages it is necessary to consider whether Ms. Niedzialkowski had a pre-existing condition which affects the assessment to be made. In Athey v. Leonati, Major J. addressed the pre-existing condition sometimes described as a "crumbling skull". At para 35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[references omitted]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indicates that at the time of the accident Ms. Niedzialkowski had not recovered from the adjustment disorder attributed to her marriage breakdown and her employment difficulties. Although she had separated from her husband, her grievance of her dismissal from Kopernik Lodge was still in progress. Ms. Niedzialkowski was still suffering depression and anxiety and Dr. Ciszak had prescribed her anti-depressant medication at different times going back well before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clear from the evidence that Ms. Niedzialkowski has suffered significant distress since September 1994. I am satisfied that the physical effects of the accident did cause Ms. Niedzialkowski considerable pain for a period of time and reduced the level of physical activity she could enjoy prior to the accident. I am also satisfied that Ms. Niedzialkowski's psychological problems, while not originating in the accident, were made worse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very difficult to determine what constitutes the "original position" to which Ms. Niedzialkowski is entitled to be returned. In addition, the defendant is not liable to compensate Ms. Niedzialkowski for the debilitating effects of the pre-existing condition which she would have experienced anyway. I think that the evidence supports an inference that there is a measurable risk that Ms. Niedzialkowski's pre-existing condition would have detrimentally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submits that non-pecuniary damages should be in the range of $100,000. That position is based upon a submission that Ms. Niedzialkowski suffered from severe whiplash and on-going depression and anxiety arising out of the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says that Ms. Niedzialkowski was at a continuing risk of being disabled from her pre-existing psychological disorders and that prior to the accident there existed a real and substantial possibility that Ms. Niedzialkowski would have continued to suffer from those disorders. In addition, the defendant says that Ms. Niedzialkowski had recovered from any physical injuries by the first anniversary of the accident. The defendant says the appropriate range for non-pecuniary damages is $25,000 to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the plaintiff's estimate does not sufficiently take into account Ms. Niedzialkowski's pre-existing condition at the time of the accident. The defendant's estimate of a one-year return to the plaintiff's original position, however, underestimates the significance of the psychological injury caused by the accident. Taking into account the factors that I have mentioned above, I would assess non-pecuniary damages at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says that her past loss of income should be assessed at between $193,856 and $146,079. That calculation is based upon an assumption that but for the accident Ms. Niedzialkowski would have worked full time as a cook from June 1995 when she completed her cooking course to the date of trial. The higher estimate is based upon an hourly rate stated by Mr. Urban of the Holiday Inn. The lower rate is based upon a statistical estimate of the average full-time annual earnings of foreign-born British Columbia resident females of Ms. Niedzialkowski's age who work as cooks.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says the estimate should assume that the defendant is liable to compensate the plaintiff for a period of one year after the accident. As Ms. Niedzialkowski did not finish her cooking course until the spring of 1995, the defendant says that the plaintiff could only have earned approximately $8250 to September 2, 1995, and that negative contingencies applied to that amount should reduce the assessment to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Prior to the accident, Ms. Niedzialkowski had never worked full-time since her arrival in Canada in the mid-1980s. A review of her income tax returns indicates an annual income in each of the years 1990 to 1994 of approximately $19,000. Ms. Niedzialkowski did not work in 1994 having been dismissed from her employment in January 1994. She did, however, receive a settlement amount of $14,000 following the grievance procedure which she pursued. With the completion of her training as a cook Ms. Niedzialkowski had the prospect of earning a higher income. If Ms. Niedzialkowski had not suffered from her pre-existing condition and from the accident she would likely have earned approximately $130,000 from the date of the accident to the date of trial. In my view there is substantial evidence that the debilitating effect of Ms. Niedzialkowski's pre-existing condition would have substantially increased over time and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light of that, I assess her past income loss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Niedzialkowski also claims damages for loss of future earning capacity. The issue raised is the extent to which Ms. Niedzialkowski's earning capacity has been further impaired by her injuries in the accident. Counsel for Ms. Niedzialkowski has submitted an expert report which suggests approaches to calculating such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there is both medical evidence and evidence of a vocational and rehabilitation specialist which state that Ms. Niedzialkowski's future employment prospects are poor, the critical question in this action is the extent to which the defendant is liable to compensate Ms. Niedzialkowski for this anticipated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report of August 14, 2001, Dr. Altman stated that he could not find anything in Ms. Niedzialkowski's past history and her background that can explain her reaction and perception of her pain at this point. In my view the evidence strongly suggests that while it is probable that the accident exacerbated Ms. Niedzialkowski's pre-existing condition, at this point it is Ms. Niedzialkowski's pre-existing condition that is detrimentally affecting her future. I have concluded that the defendant cannot be held liable for any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Niedzialkowski also claims future care costs for housekeeping assistance and continuing physiotherapy. In light of the findings I have made, I conclude that the defendant cannot be held liable for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Niedzialkowski claims special damages of $13,537.28. While there were a substantial number of receipts and invoices presented, Ms. Niedzialkowski had difficulty in supporting all of them. A substantial portion of the claim relates to physiotherapy or massage therapy accounts from Mr. Barker, Mr. Oldham and Treloar Physiotherapy. In view of the findings of fact I have made, only a portion of those expenses may be the responsibility of the defendant. The home support expense did not begin until October 2000 and in my view is not a liability of the defendant. Some of the prescription receipts are for thyroid medication which is not related to the accident. Doing the best I can on the evidence as presented, I conclude that Ms. Niedzialkowski is entitled to special damages of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summary Ms. Niedzialkowski will be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156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928"/>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196"/>
        <w:gridCol w:w="261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Costs may be spoken to if the parties are unable to agree on their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Penland v. Lofting, [2008] B.C.J. No. 713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3-4 and 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M104175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713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2008 BCSC 507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60 C.C.L.T. (3d) 265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2008 CarswellBC 789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167 A.C.W.S. (3d) 702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Janice Penland, Plaintiff, and Michael E. Lofting,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6" w:name="Keywords_24"/>
      <w:bookmarkEnd w:id="156"/>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Retroactive loss of income — Action by plaintiff injured in motor vehicle accident for damages for personal injuries allowed — Fifty-five-year-old woman with soft tissue injuries awarded $30,000 in non-pecuniary damages and $500 for cost of gym membership and trainer, and ordered to be compensated for lost work time — No award for future loss of income where plaintiff failed to show her ability to earn was impacted — Plaintiff exaggerated her injuries.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Limits on compensatory damages — Thin or crumbing skull rule — Action by plaintiff injured in motor vehicle accident for damages for personal injuries allowed — Fifty-five-year-old woman with soft tissue injuries awarded $30,000 in non-pecuniary damages — Award not reduced pursuant to crumbling skull rule, because no evidence established pre-existing osteoarthritis was progressive, degenerative condition which would have caused her impairment without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Age of claimant — 46 to 55 — Non-pecuniary award — $20,001 to $40,000 — Considerations impacting on award — Credibility — Action by plaintiff injured in motor vehicle accident for damages for personal injuries allowed — Fifty-five-year-old woman with soft tissue injuries awarded $30,000 in non-pecuniary damages and $500 for cost of gym membership and trainer, and ordered to be compensated for lost work time — No award for future loss of income where plaintiff failed to show her ability to earn was impacted — Plaintiff exaggerated her injuries.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7" w:name="Case Summary_22"/>
            <w:bookmarkEnd w:id="1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Penland to recover damages for personal injuries she sustained in a 2005 motor vehicle accident. Lofting admitted liability for the accident, in which he rear-ended Penland's compact car with his half-tonne pick-up truck. Penland, 55 years old at the time of the accident, sustained mild to moderate soft tissue injuries. She had been diagnosed with osteoarthritis and had experienced migraines prior to the accident. She had been active as a gardener, walked to work every day, and played badminton and ball with her grandchildren before the accident, but claimed she could no longer enjoy any of these activities after the accident. She moved from a house to a condo because it was easier to take care of. She gained about 20 pounds after the accident and claimed this made walking less comfortable. She complained of sleep problems which continued to the date of trial, caused by discomfort from her injuries. She thought her recovery had plateaued but wanted to explore the possibility of working out with a personal trainer. She worked as a cashier for the Home Depot. Her job involved a bit of lifting, which she had no problems with prior to the accident. She missed eleven weeks of work after the accident and returned to her position on a graduated basis after this period of absence. She was fired two months after she returned to work for insubordination, which she claimed resulted from the pain she experienced standing at work due to her injuries, including back pain and headaches. She did not admit she had been fired until she was cross-examined. Within months of leaving the Home Depot, Penland found a position working full-time for the Days Inn which she continued to enjoy at the time of trial. She was earning more than she did with the Home Depot. She claimed non-pecuniary damages of $35,000 to $40,000, while Lofting suggested $15,000 to $25,000 as the appropriate range.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8" w:name="Holdings of Court_17"/>
            <w:bookmarkEnd w:id="158"/>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Penland was awarded compensation for past loss of income for the period of work she missed, non-pecuniary damages of $30,000, special damages of $400 and damages for costs of future care of $500. Penland failed to prove her earning capacity was impaired as a result of the accident. The inconsistency in her accounts of the circumstances leading to the termination of her employment called her credibility into question. Penland exaggerated the severity of her injuries, although it was true that her symptoms had not resolved at the time of trial. She was awarded $30,000 for non-pecuniary damages. The medical evidence of Penland's osteoarthritis did not show it was a progressive, degenerative disease. The court therefore refused to reduce the damage award to Penland on the basis of the crumbling skull rule. The special damages awarded were agreed to by the parties. The award for future care costs was a reasonable sum to pay for a year's gym membership and several sessions with a trainer.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9" w:name="Counsel_24"/>
      <w:bookmarkEnd w:id="1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Neil A. Mulholland.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Allan W. Watchorn.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0" w:name="Judgment_24"/>
      <w:bookmarkEnd w:id="160"/>
      <w:r>
        <w:pict>
          <v:line id="_x0000_s1143" style="position:absolute;z-index:2517862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1" w:name="A.W. MacKENZIE J."/>
            <w:bookmarkEnd w:id="161"/>
            <w:r>
              <w:rPr>
                <w:rFonts w:ascii="arial" w:eastAsia="arial" w:hAnsi="arial" w:cs="arial"/>
                <w:b/>
                <w:color w:val="000000"/>
                <w:sz w:val="30"/>
                <w:lang w:val="en-US" w:eastAsia="en-US" w:bidi="ar-SA"/>
              </w:rPr>
              <w:t>A.W.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Janice Penland, claims damages for personal injuries sustained in a motor vehicle accident (the "accident") on September 16, 2005. The Plaintiff was driving her subcompact Toyota Tercel north on 200th Street in Langley, British Columbia when the Defendant abruptly rear-ended her in a half-tonne Ford Ranger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had slowed down at an area where there was a dip in the road and traffic was funnelled into the inside of two northbound lanes. While the Defendant described the impact as a bump, it was more severe to the Plaintiff who was hit from behind by a larger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sustained high mild to low moderate soft-tissue injuries, some of which persist and for which recovery has currently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There are two main areas of dispute in this case. First, given the Plaintiff's pre-existing osteoarthritis, should the assessment of non-pecuniary damages be based upon the "crumbling skull" doctrine: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Second, if the Plaintiff is entitled to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seeks non-pecuniary damages in the range of $35,000-$40,000. The Defendant says after deduction to account for her pre-existing osteoarthritis which the accident exacerbated, the range should be $15,000-$25,000.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a minor dispute about the amount of damages the Plaintiff suffered for past loss of income. I find that the Plaintiff missed eleven weeks and one day of work at Home Depot as a result of her injuries, and base my award on the parties' agreement that the Plaintiff averaged 33 hours of work per week, earning ten dollars per hour. Also, she is entitled to compensation for 60 missed hours of work due to her graduated return to work. I also award damages for loss of income for the period she was unemployed between leaving Home Depot and beginning work at the Days 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Special damages of $400 are agreed upon and I make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do not find the Plaintiff has proven a loss or impairment of her earning capacity as a capital asset, and make no award under that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do award her $500 for cost of future care the Defendant concedes is reasonable for a six month gym membership with several sessions with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Fifty-five year old Janice Penland, the Plaintiff, has lived in a condominium in Langley since October 2006. When the accident occurred, she lived in Langley on 200th Street in a double wide trailer with a large end lot and a big garden. Photographs of her garden show a well kept large garden with a climbing rose bush, other flowering plants, and a large lawn. The Plaintiff cut it several times a week using a push gas mower. She also had a rock garden with a large number of bulbs. Her garden required constant weeding with bending on hands and knees. She was very proud of her garden. She also took care of her neighbour's yard. The Plaintiff lived with her seventy-eight year old mother, Margaret Petersen.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the accident, the Plaintiff routinely walked several miles a day two to three times a week. She worked in her garden on days off from work. She has two adult children and three grandchildren with whom she liked to play in the park and other activities in her own yard including badminton and ball. She missed the October 3, 2005 birth of her third grandchild in Victoria because she was in too much pain to consider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accident, she could no longer work in the yard. Her injuries meant she could no longer rake and weed or tend the flowers. The Plaintiff had to move a year and a half ago into a condominium which required a mortgage because she could no longer keep up the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condominium does not require the heavy vacuuming that she previously did twice a week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Before the accident, the Plaintiff worked at Home Depot in Langley as a cashier level one since February 2005. The work required her to do some lifting, carrying and moving of a variety of items connected to building including paint cans and cement and fertilizer bags. The Plaintiff never had problems moving things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most difficult part of work after the accident was standing one place at the till.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common ground the Plaintiff earned $10 an hour at Home Depot and averaged 33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left home at about 10:00 a.m. to go to work on September 16, 2005. She was driving north on 200th Street in Langley. The street was being re-surfaced and traffic was funnelled into the median lane next to the center lane. The two lanes going north became one lane. The Plaintiff was driving her Toyota Tercel and slowed to 35 to 40 kilometres an hour when she was suddenly hit from behind. Her car was pushed forward to the left where it came to rest up against the side of the road that was cut away in road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felt immediate pain and stiffness and had trouble lifting her leg up to the sidewalk. Her neck was stiff, her head was aching and her lower back was sore and aching. She drove home with a sore back. She experienced sharp pain running up her shoulder blade and immediately called her doctor, who was unavailable. The Plaintiff went to the clinic and saw Dr. Allen in the same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did not go to work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did not return to work until December 4, 2005, when she returned to light duties at Home Depot. She would work anywhere from six to eight hours per day before the accident, but on December 4 she worked a four hour shift. Within a month, she increased her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described returning to her regular duties at the end of December as difficult because she could not handle standing. What Home Depot classified as light duties at the self check-out amounted to standing with little moving around. The Plaintiff said she could not cope with standing so asked Home Depot to move her back to check-out where she could move around a little. However, the Plaintiff testified she found that impossible so she left Home Depot on February 20, 2006. It is important to note however, that in cross-examination, when shown documentation from her personnel file, the Plaintiff admitted that she had not "quit" Home Depot, but had been terminated on February 20 for incidents of "harassment and insubordination" for the brief period between February 17 to 19,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asked about the inconsistency between Home Depot terminating her and her own evidence that she quit, the Plaintiff said it was all the same to her. She told counsel for the Defendant that she did not deem it necessary to tell him the real reason she left Home Depot when he examined her for discovery. She said it was all the same to her. She explained that she was frustrated and angry because of her pain so it made her hard to get along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the Plaintiff's explanation for the inconsistency between her evidence and the reason she left Home Depot unsatisfactory. While I can accept she was in some pain or discomfort at work which left her frustrated and angry, that is no excuse for misleading the Court as to the manner in which she left. Being terminated is very different from leaving a job of one's own volition. In my view, this inconsistency does to a certain extent taint the Plaintiff's credibility as to the extent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Progress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described the symptoms related to standing in her work at Home Depot post-accident as pain in the lower back and upper back between the shoulder blades. She testified she would frequently get aches that would start between the shoulder blades and go up behind her right ear and behind the right eye. She said they were stabbing headaches that would last half an hour to one hour and she would stand for about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observe the Plaintiff suffered migraines in the past before the accident though she describes these headaches as migraines rather than these post-accident headaches. I do not find her evidence reliable in terms of any difference between the headaches. I find she has not proved the headaches were related to the accident because she previously experienced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any event, the Plaintiff described the repetition of moving merchandise at Home Depot as becoming more difficult such that she could no longer do it. It got to the point where no matter what she did, nothing would alleviate her pain, so she had to leave Home Depot. She said she was getting very angry and frustrated. It affected her work, the people around her and her home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Other symptoms she experienced between the accident and leaving Home Depot included cramps in her legs. The doctor gave her quinine for leg cramps and spasms. She was in terrible pain that would generate from her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said she slept very little after the accident and while working at Home Depot. She could not find a comfortable position. While it has now improved a little, she said her sleep is still not "one hundred percent". She was given melatonin to help her sleep. Now, she has sleep problems four of seven nights.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tried ice, heat and Advil between the accident and February 20, 2006 to help her sleep. Almost every night she had difficulty. It was worse after she started physiotherapy because of the cramps, spasm and the sensation that her hip was twisted. She testified she had no difficulty sleeping before the accident, though back problems in 2000 interfered a little. However, these almost went away with chiropractic treatments. She had her last chiropractic treatment in the spring of 2000, having pursued the full course of twelve to thirteen treatments that her medical insurance would allow.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Before the accident, the Plaintiff's back was generally good, but with some low back pain. The osteoarthritis symptoms are what prompted the chiropractic treatment starting in October 2003, before the accident. After, she was able to function normally. She could work in the garden and stand at work and generally had no problems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From September 2004 to September 2005, that is one year pre-accident, her back was "pretty good", although she had the odd twinge. It was nothing that ice or Advil did not help. Between September 2004 and September 2005 her family doctor, Dr. Gupta, recommended Robaxacet for spasm. During that year, she did not miss work or any other activities from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saw Dr. Gupta several days after the accident and at her recommendation, pursued physiotherapy from October 2005 to February 2006. The physiotherapy helped, but was very painful. It did not assist her recovery one hundred percent but the Plaintiff was able to get comfortable in bed. She could sit and stand, but had great difficulty bending over to pick things up, or sitting for any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Gupta prescribed Tramacet, a non-narcotic anti-inflammatory pain medication. Dr. Allen on the day of the accident had prescribed Robaxisal with codeine, but the Plaintiff did not like the side affects so Dr. Gupta instead prescribed Tramacet. The Plaintiff only had those two medications and ceased taking the Tramacet on February 20, 2006. She had non-prescriptive Advil that she alternated with Tylenol and heat. When she left Home Depot on February 20, 2006, the Plaintiff was only taking Advil and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was also prescribed exercises and the heat, and got a mattress topper for her bed. It helped considerably. She did this in November 2005. Dr. Gupta and the physiotherapist prescribed stretching exercises for the upper and lower back and hips at least three times per week. The Plaintiff said to Dr. Dommisse that she was not doing these stretches when she saw him on January 25, 2008, but that she was walking two to three times a week for about an hour. She explained at trial that she meant that she was not doing them on the particular day she saw Dr. Dommisse. I do not know whether she was faithfully doing her stretching exercises or not, and find her evidence somewhat unreliable in that regard given what she told Dr. Dommisse.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testified she takes Advil now and heat or ice depending on whether she has been out walking for a long period. She still takes long walks about twice a week and about once a week uses heat or ice afterwards for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January 8, 2008, the Plaintiff underwent tests with an occupational therapist at a clinic called "Back in Motion" for an eight hour discovery about what her limitations were. There was dexterity testing, testing with weight, pushing and pulling, dismantling an item and putting it back together, with each exercise being done three to four times. I do not accord much evidentiary value to the "Back in Motion" report. It is based to a significant degree on the Plaintiff's self-reporting which I found overall somewhat self-serving, as indicated by her version of the manner in which she left Home Depot, and I do not think her recovery has permanently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Back in Motion Report represents one day at a point before the litigation, and I find that regular exercise in a gym, with initial guidance of a personal trainer, coupled with motivation to heal, will bring the Plaintiff to her pre-accident condition. Her condition pre-accident was not perfect as she had some back problems from pre-existing osteoarthritis, but they were intermittent and had no effect on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symptoms of pain in the six months following the accident included stiffness and pain in the neck, stiffness and pain between the shoulder blades, upper and lower back pain, headaches and the sensation that her hip had been twisted.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Six months after the accident she was feeling a bit better without the stress of working and more comfortable but still very stiff and sore in her shoulder blades and had low back and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Nine months after the accident, in June 2006, the Plaintiff started working at the Days Inn and was feeling much better. She still had some pain, but could sit better. Mentally and physically she felt better being back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October 2006, the Plaintiff and her mother moved from the mobile home to the condominium and at this time, a year after the accident, her symptoms included pain in the lower back and between the shoulders. She said she still got headaches once or twice a month but felt less stressed without the yard work. However, she felt she was not "getting out"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said she gained a lot of weight from inactivity but was more comfortable as the level of pain had decreased and she was sleeping most nights. She sometimes got light cramps at night. I note that the clinical records refute her evidence that she gained a lot of weight from the accident as she went from about 138 pounds to 155 or 156 pounds after her move from Vancouver Island to the mainland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Currently, the Plaintiff still has pain between her shoulder blades but some days it is not bad. Her hips ache and sometimes she hurts a lot. Her lower back at present is a little sore after doing a long walk. She said she feels "pretty good". She still has aches between the shoulders, achy hips and leg cramps at night but not all the time. Significantly, the Plaintiff said she is afraid to do certain activities because she feels she will hurt later. She takes her time doing house work like cleaning bathrooms and no longer has to vacuum. She is less depressed since moving into the condo and getting more agile and moving around more, but she still has constant pain in her hips and shoulder blades. However, she said some days she feels it and others she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long walks are not as enjoyable as they used to be because she feels very tired in her legs and back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after Home Depot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leaving Home Depot on February 20, 2006, the Plaintiff next worked at the Days Inn between June 2006 and May 2007, when she transferred to the Ramada Inn. Her duties at the Days Inn were similar to those at the Ramada Inn as night shift auditor and desk clerk. She was initially paid $10.75 per hour at the Ramada Inn and now earns $11.00 per hour for a forty hour week. She has no difficulties at work now and can perform all her duties. She enjoys going to work every day, working two afternoon shifts from 3:00 p.m. to 11:00 p.m. and three night shifts from 11:00 p.m. to 7:00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Before working at Home Depot she did work for which she was not suited and left that job after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Before that, the Plaintiff worked at Save-on-Foods Pharmacy as a pharmacist assistant. She performed this work for eleven years of which three were at Save-on-Foods in Langley and eight years at Wal-Mart in Duncan, on Vancouver Island. Her job duties as pharmacist assistant were to assist the pharmacist in all pharmaceutical duties. She worked full time and stood all day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Present and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described her current physical condition as "stationery" or as having "plateaued" for about the last six months. She would like to go to a gym with a personal trainer to work one on one to explore her flexibilities and get back into shape. She appears motivated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testified she suffered terribly with migraines between 1990 and 2000 when she started menopause. She was prescribed and took Imitrex monthly and stopped taking it shortly before moving back to the mainland in 2000. She has had a couple of migraines since then but not severe enough to take Imitrex. She has not had a migraine in the past year though she says she has had the stabbing pain from the shoulder blade to behind the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agreed that the "onset of her low back pain was approximately November 21, 2000 and on August 14, 2003 had a pinched sciatica nerve and took flexeril and sciatica". This went on through to October 8, 2003 per Dr. Wilson's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Gupta noted on December 5, 2003 that she was unable to speak due to hyperthyroid. On January 8, 2004 the doctor noted she woke up from sleep with shortness of breath and the Plaintiff explained that she has asthma and once every couple of months or so she would wake up from sleep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went for chiropractic treatment October 24, 2003 with a primary complaint of a "dead leg and pain in left hip" that she describes as part of the ongoing back problem she had. She recalled the doctor saying she had osteoarthritis. She circled "low back sciatic pain and hip pain" in the chiropractic records. When she was asked how that compared with today, she responded "it was quite similar". I observe that was October 2003, two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started seeing the doctor about those complaints of low back sciatic pain and hip pain in August 2003 and agreed that her comments in October 2003 included "tingling left leg and constant pain". She marked the bottom of the mid-back to the bottom of the lumbar as locations where she had spasm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agreed that she told Dr. Dommisse on January 25, 2008 that her "interscapular pain is 85% better since the accident". She is at present on medication for asthma and on thyroid supplementation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income tax returns showed that in 2002 she earned $14,459 from Save-On Foods. She also cashed in a small RRSP at $1,354.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2003 she earned $30,162.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2004 she earned $26,911 and "other income" of $7,059 according to her 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2006 she earned $18,941 which represented income from Home Depot up to February 20, 2006 and income from Days 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Pre-Accident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fell while skating in the 1980's and fractured her tail bone and feels the motor vehicle accident aggravated this injury to her tail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agreed that between October 2003 and September 2005, before the accident, after physiotherapy and the anti-inflammatory, she was experiencing pain on a scale of five out of ten. The Plaintiff said she had good days and bad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had a pre-existing, manifest condition of which her own family doctor, Dr. Gupta, said in her report of October 18,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that the MVA exacerbated her previous back pain with underlying osteoarthritis. Any excessive physical activity would cause aggravation of symptoms which may be dealt with icing, anti-inflammatory medications and manual therapy as needed. No further tests or studies are currently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her report, Dr. Gupta noted the Plaintiff has had longstanding problems with her back that she initially complained of in November 2000. She refers to X-rays in October 2003 that revealed osteoarthritic changes affecting all Lumbar discs especially between L3, L4, L5 and S1. Her symptoms resolved after anti-inflammatory medications and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independent medical doctor, Dr. Dommisse, in his January 25, 2008 report, also says that the Plaintiff's symptoms "are related to the accident of September 16, 2005 in part. Her prior history of back problems since November, 2000 is likely contributing to her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was also noted under cross-examination that Dr. Gupta commented in October 2003 that the Plaintiff was doing well on Gabapentin which she remembered taking for her back pain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Income Loss after Home Depot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sustained income loss after leaving Home Depot before finding her new job at Days 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was cross-examined as mentioned on the inconsistency between the real reason she left Home Depot and her evidence that she quit. On re-examination, she explained that she felt ashamed of the incident described in the termination exhibit and has tried to put it out of her mind. She felt betrayed and very hurt about the incident with the co-worker who had told her she could "vent" to her. She has tried to forget about the whole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Seventy-eight year old Margaret Petersen, the Plaintiff's mother, generally supported the evidence of the Plaintiff about her change in activities since the accident. She said the Plaintiff did continue to mow the lawn but only gently and only half the lawn at a time, and did not spend time in the garden as before. The garden consequently went downhill as it required weeding and cutting.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Mrs. Petersen also said the condo does not take much upkeep now but the grandchildren do not come over as often as there is no place 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witnesses for the defence were the Defendant Mr. Lofting and two ICBC estimators who described the damage to the Plaintiff's vehicle. It cost $2,853 to repair. The damage consisted of scoring and scratches to the paint on the rear bumper, the rear body panel was pushed in and the trunk lid was pushed. The upper body or porter panel and end panel had to be pulled in order to straighten the upper panels as part of the repair process. The left tail light was smashed and the trunk lid had been pulled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second estimator, Mr. Friedrich, described the damage to the Defendant's Ford Ranger as damage to the front steel bumper and plastic strip and license plate bracket. The bumper was misaligned on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assessment of non-pecuniary damages be reduced on application of the crumbling skull doctrine?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entitled to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for the Plaintiff submits that the key to assessing the extent of the Plaintiff's injuries is the degree to which they interfere with her ability to function. She cannot stand for an eight hour shift, or tolerate the sustained bending and crouching required to maintain her garden. She is limited in what she can lift or carry.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says both doctors agree that her symptoms are ongoing, and there is no opinion as to eventual resolution. Counsel for the Plaintiff also says there is no opinion that her underlying osteoarthritis would have progressed or become more limiting independent of the accident. Therefore, in his submission, there is no medical opinion to support a "crumbling skull" analysis. He says the only logical inference from the medical evidence is the Plaintiff's present condition is a result of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injuries have not resolved, or, as counsel says, the exacerbation has not resolved. He underscores that no further improvement is predicted by the two doctors, so one can conclude the Plaintiff has suffered a mild degree of permanent partial disability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relies on the case </w:t>
      </w:r>
      <w:r>
        <w:rPr>
          <w:rFonts w:ascii="arial" w:eastAsia="arial" w:hAnsi="arial" w:cs="arial"/>
          <w:b/>
          <w:i/>
          <w:color w:val="000000"/>
          <w:sz w:val="20"/>
          <w:lang w:val="en-US" w:eastAsia="en-US" w:bidi="ar-SA"/>
        </w:rPr>
        <w:t>Hamilton v. Vance</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2007 BCSC 1001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Iliopoulous v. Abbinante</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2008 BCSC 336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Gilmour v. Machibroda</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2008 BCSC 260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Corrado v. Mah</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2006 BCSC 1191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Kahle v. Ritter</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2002 BCSC 199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Wang v. Hu</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2003 BCSC 552</w:t>
        </w:r>
      </w:hyperlink>
      <w:r>
        <w:rPr>
          <w:rFonts w:ascii="arial" w:eastAsia="arial" w:hAnsi="arial" w:cs="arial"/>
          <w:color w:val="000000"/>
          <w:sz w:val="20"/>
          <w:lang w:val="en-US" w:eastAsia="en-US" w:bidi="ar-SA"/>
        </w:rPr>
        <w:t xml:space="preserve"> in support of her argument that the appropriate range of damages is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$35,000 to $40,000 for non-pecuniary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for loss of income based on work missed at Home Depot and the period of unemployment prior to staring at Days Inn;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$400 for special damages as agreed;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$1,500 for cost of future care;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$44,000 for impaired future earning capacity/loss of capital asset, based on two years of her average income from 2000 to 2004 which is $22,000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Counsel for the Defendant argues that the Plaintiff had a "crumbling skull", and that her ongoing condition at this point is similar or equal to her pre-accident position. The defence submits that the court ought to determine the quantum of non-pecuniary damages without regard to her pre-existing condition, and then award a reduced percentage that takes into account her pre-existing condition. According to the defence, after adjustment is made, the Plaintiff's non-pecuniary damages should be in the range of $15,000-$25,000.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Also, counsel for the Defendant argues that a certain portion of the past loss of income was eleven weeks and one day, rather than eleven and a half weeks as the Plaintiff submits.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did confirm excerpts from the clinical records that included two specific periods of low back pain, from November 21, 2000 to an entry January 30, 2001 that said "REVIEW RE BACK PAIN: Unfortunately still having a lot of problems. Still taking ibuprofen, Tylenol #3 and Flexeril".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record of the second period of low back pain started August 14, 2003 with "Pinched nerve (sciatic) ... started few days ago. Not sure what the trigger is. Walked in mall ... Tender lower back and into L buttock. Sensation reduced L leg". There is another reference to back pain/sciatica on August 29, 2003, and on October 8, 2003 is a reference to very "tender low back. Flexeril T3".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She also went to Dr. Gupta October 21, 2003 when she confirmed she was doing well on Gabapentin for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correctly concedes there is no evidence of a progressive ongoing degenerative condition, but says I can take judicial notice that osteoarthritis is degenerative and progressive. However, I cannot. The Supreme Court of Canada has defined the situations where it is appropriate and open to the court to take judicial notice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R. v. Spence</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2005 SCC 71</w:t>
        </w:r>
      </w:hyperlink>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[2005] 3 S.C.R. 458</w:t>
        </w:r>
      </w:hyperlink>
      <w:r>
        <w:rPr>
          <w:rFonts w:ascii="arial" w:eastAsia="arial" w:hAnsi="arial" w:cs="arial"/>
          <w:color w:val="000000"/>
          <w:sz w:val="20"/>
          <w:lang w:val="en-US" w:eastAsia="en-US" w:bidi="ar-SA"/>
        </w:rPr>
        <w:t xml:space="preserve"> is the leading case on judicial notice. In that case, Binnie J. considered the approach the courts have adopted to determine whether it is appropriate to take judicial notice of a particular fact. He held that the stringent criteria developed by Professor E. M. Morgan in "Judicial Notice" (1943-1944), 57 Harv. L. Rev. 269 and adopted by the Supreme Court of Canada in </w:t>
      </w:r>
      <w:r>
        <w:rPr>
          <w:rFonts w:ascii="arial" w:eastAsia="arial" w:hAnsi="arial" w:cs="arial"/>
          <w:b/>
          <w:i/>
          <w:color w:val="000000"/>
          <w:sz w:val="20"/>
          <w:lang w:val="en-US" w:eastAsia="en-US" w:bidi="ar-SA"/>
        </w:rPr>
        <w:t>R. v. Find,</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2001 SCC 32</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[2001] 1 S.C.R. 863</w:t>
        </w:r>
      </w:hyperlink>
      <w:r>
        <w:rPr>
          <w:rFonts w:ascii="arial" w:eastAsia="arial" w:hAnsi="arial" w:cs="arial"/>
          <w:color w:val="000000"/>
          <w:sz w:val="20"/>
          <w:lang w:val="en-US" w:eastAsia="en-US" w:bidi="ar-SA"/>
        </w:rPr>
        <w:t xml:space="preserve"> is the "gold standard", and if those criteria is satisfied, the fact will be judicially noticed.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criteria governing judicial notice is reviewed in </w:t>
      </w:r>
      <w:r>
        <w:rPr>
          <w:rFonts w:ascii="arial" w:eastAsia="arial" w:hAnsi="arial" w:cs="arial"/>
          <w:b/>
          <w:i/>
          <w:color w:val="000000"/>
          <w:sz w:val="20"/>
          <w:lang w:val="en-US" w:eastAsia="en-US" w:bidi="ar-SA"/>
        </w:rPr>
        <w:t>R. v. Find</w:t>
      </w:r>
      <w:r>
        <w:rPr>
          <w:rFonts w:ascii="arial" w:eastAsia="arial" w:hAnsi="arial" w:cs="arial"/>
          <w:color w:val="000000"/>
          <w:sz w:val="20"/>
          <w:lang w:val="en-US" w:eastAsia="en-US" w:bidi="ar-SA"/>
        </w:rPr>
        <w:t xml:space="preserve">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Judicial notice dispenses with the need for proof of facts that are clearly uncontroversial or beyond reasonable dispute. Facts judicially noticed are not proved by evidence under oath. Nor are they tested by cross-examination. Therefore, the threshold for judicial notice is strict: a court may properly take judicial notice of facts that are either: (1) so notorious or generally accepted as not to be the subject of debate among reasonable persons; or (2) capable of immediate and accurate demonstration by resort to readily accessible sources of indisputable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Spence</w:t>
      </w:r>
      <w:r>
        <w:rPr>
          <w:rFonts w:ascii="arial" w:eastAsia="arial" w:hAnsi="arial" w:cs="arial"/>
          <w:color w:val="000000"/>
          <w:sz w:val="20"/>
          <w:lang w:val="en-US" w:eastAsia="en-US" w:bidi="ar-SA"/>
        </w:rPr>
        <w:t>, Binnie J. noted the distinction between adjudicative facts and legislative or social facts, finding at para. 60 that the "</w:t>
      </w:r>
      <w:r>
        <w:rPr>
          <w:rFonts w:ascii="arial" w:eastAsia="arial" w:hAnsi="arial" w:cs="arial"/>
          <w:i/>
          <w:color w:val="000000"/>
          <w:sz w:val="20"/>
          <w:lang w:val="en-US" w:eastAsia="en-US" w:bidi="ar-SA"/>
        </w:rPr>
        <w:t>permissible scope of judicial notice should vary according to the nature of the issue under consideration</w:t>
      </w:r>
      <w:r>
        <w:rPr>
          <w:rFonts w:ascii="arial" w:eastAsia="arial" w:hAnsi="arial" w:cs="arial"/>
          <w:color w:val="000000"/>
          <w:sz w:val="20"/>
          <w:lang w:val="en-US" w:eastAsia="en-US" w:bidi="ar-SA"/>
        </w:rPr>
        <w:t xml:space="preserve"> [emphasis in original]". He held at para. 61 that "the closer the fact approaches the dispositive issue, the more the court ought to insist on compliance with the stricter Morgan criteria" the court applied in </w:t>
      </w:r>
      <w:r>
        <w:rPr>
          <w:rFonts w:ascii="arial" w:eastAsia="arial" w:hAnsi="arial" w:cs="arial"/>
          <w:b/>
          <w:i/>
          <w:color w:val="000000"/>
          <w:sz w:val="20"/>
          <w:lang w:val="en-US" w:eastAsia="en-US" w:bidi="ar-SA"/>
        </w:rPr>
        <w:t>Find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Binnie J. found at para. 61 that the court will apply the Morgan criteria, irrespective of the type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review of our jurisprudence suggests that the Court will start with the Morgan criteria, whatever may be the type of "fact" that is sought to be judicially noticed. The Morgan criteria represent the gold standard and, if satisfied, the "fact" will be judicially noticed, and that is the end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noted at para. 62 that where the Morgan criteria are not met and the fact is adjudicative, the court will not take judicial notice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Morgan criteria are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satisfied, and the fact is "adjudicative" in nature, the fact will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be judicially recognized, and that too is the end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Binnie J. noted at para. 63 that when considering social and legislative facts, the Morgan criteria remain relevant, but are not necessarily conclusive. He held that "[o]utside the realm of adjudicative fact, the limits of judicial notice are inevitably somewhat elastic". However, he found that the Morgan criteria "will have great weight when the legislative fact or social fact approaches the dispositive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Finally, he held at para. 65 that where the matter falls between the "high end" where the Morgan criteria apply and the "low end" where the court will proceed "on the basis that the matter is beyond serious controversy", the court should ask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such "fact" would be accepted by reasonable people who have taken the trouble to inform themselves on the topic as not being the subject of reasonable dispute </w:t>
      </w:r>
      <w:r>
        <w:rPr>
          <w:rFonts w:ascii="arial" w:eastAsia="arial" w:hAnsi="arial" w:cs="arial"/>
          <w:i/>
          <w:color w:val="000000"/>
          <w:sz w:val="20"/>
          <w:lang w:val="en-US" w:eastAsia="en-US" w:bidi="ar-SA"/>
        </w:rPr>
        <w:t>for the particular purpose for which it is to be used</w:t>
      </w:r>
      <w:r>
        <w:rPr>
          <w:rFonts w:ascii="arial" w:eastAsia="arial" w:hAnsi="arial" w:cs="arial"/>
          <w:color w:val="000000"/>
          <w:sz w:val="20"/>
          <w:lang w:val="en-US" w:eastAsia="en-US" w:bidi="ar-SA"/>
        </w:rPr>
        <w:t>, keeping in mind that the need for reliability and trustworthiness increases directly with the centrality of the "fact" to the disposition of the controversy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this case, whether osteoarthritis is a degenerative and progressive condition is relevant to the issue of whether the Plaintiff has a "crumbling skull". Because liability is admitted, this trial only involves the issue of damages. Accordingly, the question of whether the Plaintiff has a progressive and degenerative disease is central to the disposition of the damages issue and is governed by the more stringent Morgan criteria adopted in </w:t>
      </w:r>
      <w:r>
        <w:rPr>
          <w:rFonts w:ascii="arial" w:eastAsia="arial" w:hAnsi="arial" w:cs="arial"/>
          <w:b/>
          <w:i/>
          <w:color w:val="000000"/>
          <w:sz w:val="20"/>
          <w:lang w:val="en-US" w:eastAsia="en-US" w:bidi="ar-SA"/>
        </w:rPr>
        <w:t>Find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opinion, that osteoarthritis is a progressive and degenerative disease is neither "so notorious or generally accepted as not to be the subject of debate among reasonable persons", nor is it "capable of immediate and accurate demonstration by resort to readily accessible sources of indisputable accuracy". Also, I note that even if the less stringent test were applied, it would not be met because whether osteoarthritis is progressive and degenerative could be disputed by reasonable and informed people and this "fact" is central to the disposition of the parties' dispute. I do not take judicial notice of it. This is the subject of medical expertise which requires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argues that the "crumbling skull" doctrine applies in this case and that the Plaintiff's non-pecuniary damages should be reduced according.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is the leading authority on the crumbling skull doctrine. In </w:t>
      </w:r>
      <w:r>
        <w:rPr>
          <w:rFonts w:ascii="arial" w:eastAsia="arial" w:hAnsi="arial" w:cs="arial"/>
          <w:b/>
          <w:i/>
          <w:color w:val="000000"/>
          <w:sz w:val="20"/>
          <w:lang w:val="en-US" w:eastAsia="en-US" w:bidi="ar-SA"/>
        </w:rPr>
        <w:t>Kahle v. Ritter</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2002 BCSC 199</w:t>
        </w:r>
      </w:hyperlink>
      <w:r>
        <w:rPr>
          <w:rFonts w:ascii="arial" w:eastAsia="arial" w:hAnsi="arial" w:cs="arial"/>
          <w:color w:val="000000"/>
          <w:sz w:val="20"/>
          <w:lang w:val="en-US" w:eastAsia="en-US" w:bidi="ar-SA"/>
        </w:rPr>
        <w:t xml:space="preserve">, D. Smith J. succinctly reviewed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paras. 91-93: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A determination of whether Mr. Kahle's ongoing chronic pain condition was caused or materially contributed to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accident requires a review of the principles laid down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At para. 17 Major J. summarized the causation test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As long as a Defendant is </w:t>
      </w:r>
      <w:r>
        <w:rPr>
          <w:rFonts w:ascii="arial" w:eastAsia="arial" w:hAnsi="arial" w:cs="arial"/>
          <w:i/>
          <w:color w:val="000000"/>
          <w:sz w:val="20"/>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At para. 19, the court held that it was contrary to tort law to apportion liability between tortious and non-tortious causes merely because other causal factors for which the Defendants were not responsible also assisted in producing the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The court further distinguished between the "thin skull" doctrine and the "crumbling skull" doctrine. The former doctrine encompasses the principle that the tortfeasor must take his victim as he finds him. Therefore, if the victim's injuries are more severe or dramatic than they would be for an average person owing to a pre-existing condition, then the tortfeasor remains liable for those injuries. The latter doctrine recognizes that where a victim has a pre-existing condition he would have experienced in any event, the tortfeasor need only compensate the victim for the additional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not the pre-existing damage. If there is a measurable risk that the pre-existing condition would have adversely affected the victim in the future, then the overall award can be reduced. In other words, the victim, as the court noted at para. 35,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Another case that usefully explains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is </w:t>
      </w:r>
      <w:r>
        <w:rPr>
          <w:rFonts w:ascii="arial" w:eastAsia="arial" w:hAnsi="arial" w:cs="arial"/>
          <w:b/>
          <w:i/>
          <w:color w:val="000000"/>
          <w:sz w:val="20"/>
          <w:lang w:val="en-US" w:eastAsia="en-US" w:bidi="ar-SA"/>
        </w:rPr>
        <w:t>Corrado v. Mah</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2006 BCSC 1191</w:t>
        </w:r>
      </w:hyperlink>
      <w:r>
        <w:rPr>
          <w:rFonts w:ascii="arial" w:eastAsia="arial" w:hAnsi="arial" w:cs="arial"/>
          <w:color w:val="000000"/>
          <w:sz w:val="20"/>
          <w:lang w:val="en-US" w:eastAsia="en-US" w:bidi="ar-SA"/>
        </w:rPr>
        <w:t xml:space="preserve">. Slade J. at paras. 52-56 referred to </w:t>
      </w:r>
      <w:r>
        <w:rPr>
          <w:rFonts w:ascii="arial" w:eastAsia="arial" w:hAnsi="arial" w:cs="arial"/>
          <w:b/>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219 B.C.A.C. 88</w:t>
        </w:r>
      </w:hyperlink>
      <w:r>
        <w:rPr>
          <w:rFonts w:ascii="arial" w:eastAsia="arial" w:hAnsi="arial" w:cs="arial"/>
          <w:color w:val="000000"/>
          <w:sz w:val="20"/>
          <w:lang w:val="en-US" w:eastAsia="en-US" w:bidi="ar-SA"/>
        </w:rPr>
        <w:t xml:space="preserve">, in which Esson J.A. considered the principles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where a Plaintiff has a pre-existing condition that would support a finding of a measurable risk that this condition would have detrimentally affected the Plaintiff in the future. Slade J. noted that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two scenarios were considered: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injuries are unexpectedly severe owing to a pre-existing condition (thin skull). Here, a negligent Defendant is liable for all damages even though the Plaintiff's losses are greater than they would be for the average person;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pre-existing condition was inherent in the Plaintiff's "original position" (crumbling skull). Here, a Defendant will be liable for the injuries caused, but not for the effects of the pre-existing condition which the Plaintiff would have experienced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Slade J. said at paras 53-56: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In </w:t>
      </w:r>
      <w:r>
        <w:rPr>
          <w:rFonts w:ascii="arial" w:eastAsia="arial" w:hAnsi="arial" w:cs="arial"/>
          <w:b/>
          <w:i/>
          <w:color w:val="000000"/>
          <w:sz w:val="20"/>
          <w:lang w:val="en-US" w:eastAsia="en-US" w:bidi="ar-SA"/>
        </w:rPr>
        <w:t>Zacharias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Esson J.A. notes, at para. 18, that it is not required that a pre-existing condition be "already manifest and presently disabling" for the crumbling skull rule to apply. He clarifies that this simply means that manifest and disabling conditions should be taken into account in determining the appropriate measure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Esson J.A. notes the difficulty in the application of the crumbling skull rule when there is a chance, but not a certainty, that the Plaintiff would have suffered the harm but for the Defendant's conduct. In this circumstance, damages are adjusted only where there is a measurable risk that the pre-existing condition would have detrimentally affected the Plaintiff in the future. Such a risk of harm need not be proven on a balance of probabilities, but should be given weight according to the probability of its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determination of causation and the assessment of damages involve the application of distinct principles. Causation must be established on the balance of probabilities. As causation relates to a past event, it is, once established, treated as a certainty. The assessment of damages calls for consideration of future events, which requires consideration and weighing of possibilities and contingencies: </w:t>
      </w:r>
      <w:r>
        <w:rPr>
          <w:rFonts w:ascii="arial" w:eastAsia="arial" w:hAnsi="arial" w:cs="arial"/>
          <w:b/>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xml:space="preserve"> (C.A.) at para.6;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Although I reject Dr. Blaney's opinion that injuries sustained in the accident are the sole cause of the Plaintiff's present condition, I accept that he did sustain soft tissue injuries that continue to cause him suffering and that these are somewhat disabling. However, his pre-existing condition was inherent in his original position, and must be considered in the assessment of damages. This applies equally to non-pecuniary damages and damages for loss of earning capacity: </w:t>
      </w:r>
      <w:r>
        <w:rPr>
          <w:rFonts w:ascii="arial" w:eastAsia="arial" w:hAnsi="arial" w:cs="arial"/>
          <w:b/>
          <w:i/>
          <w:color w:val="000000"/>
          <w:sz w:val="20"/>
          <w:lang w:val="en-US" w:eastAsia="en-US" w:bidi="ar-SA"/>
        </w:rPr>
        <w:t>T.W.N.A. v. Clarke</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(2003), 22 B.C.L.R. (4th) 1</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36 and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this case, while I find the medical evidence reflects that the Plaintiff suffers from osteoarthritis, there is no evidence before the court that this is a progressive, degenerative disease. I have already said that I cannot take judicial notice about the nature of the osteoarthritis. Therefore, I am left with the evidence that this disease did not impair her previous activities. The evidence simply reflects that pre-accident, the Plaintiff had a static condition that did not limit her activities in any way. There is no evidence before the court that this would have changed in the future. This disposes of the Defendant's argument that this is a "crumbling skull" case because there is no evidence before the court that osteoarthritis is a progressive and degenerative disease. I can not find, in the absence of any medical evidence about the Plaintiff's prognosis, that there is a measurable risk that this pre-existing condition would have detrimentally affected the Plaintiff in the future. To do so would be to speculate as there is no evidence to support that assertion. Accordingly, I decline to reduce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Neither Dr. Gupta nor Dr. Dommisse offer any opinion at all on the question whether the Plaintiff will have a minor permanent partial disability as she suggests. Having carefully considered the totality of the evidence, I do not find the Plaintiff will have a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observe that Dr. Dommisse says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stated that she did have some pain in the trapezius muscle area on both sides and this has resolved. Overall, Ms. Penland stated that her interscapular pain is 85% better since the accident of September 16,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find this to be real progress. He went on to say, "She also complained of mild pain in the lumbosacral region. She stated that this pain feels like a pressure feeling".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do not find the Plaintiff's injuries as severe as she indicates because they will improve with exercise as Dr. Dommisse recommends. The Plaintiff has failed to persuade me that she will not substantially recover to at least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award the Plaintiff $30,000 in non-pecuniary damages. In my opinion, this award is appropriate given the nature of her complaints, and the fact it will take some time to return to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award the Plaintiff damages for past income loss based on the parties' agreement that the Plaintiff averaged 33 hours per week at Home Depot prior to the accident. I find she was absent for eleven weeks and one day as a result of her injuries, and add an additional 60 hours due to her graduated return to work from December 4, 2005 to January 29, 2006. An 80 percent multiplier is agreed upon to arrive at a net wage loss figure. Initially, I was given a figure based on the Plaintiff missing eleven and a half weeks, but I accept the Defendant's position that the records indicate the correct amount of time is eleven weeks and one day instead. The parties can therefore calculate a small decrease from the net figure of $3,516 which was the net figure based on an eleven and a half week absence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award damages for loss of income for the period between leaving Home Depot and starting at the Days Inn which, based on a gross figure of $1,980 yields a net figure of $1,584 for that time frame. This award is based on the finding that, although Home Depot terminated the Plaintiff because she could not tolerate the standing involved, I find on the evidence the incidents between February 17 and 19, 2006 that gave rise to her termination were the result of her frustration caused by her injuries. These were the only negative items in the Plaintiff's personnel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Special damages of $400 are agreed upon and I make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have already said an award of $500 is reasonable for cost of future care for a six month gym membership and several sessions with a personal trainer to start the Plaintiff on her own exercise program. The Plaintiff sought $1500 for the same care, but without evidence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Impaired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find the totality of the evidence fails to establish a real possibility of loss of future earning capacity. There is no support for such an award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Moore v. Cabral</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xml:space="preserve">, I considered whether the Plaintiff was entitled to damages for loss of future earning capacity. In that case, like this one, the plaintiff was involved in a car accident that caused soft tissue injury. The defendants admitted liability for the accident. I reviewed the authorities governing the law on loss of future earning capacity: see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(1997), 26 B.C.L.R. (3d) 353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6 B.C.A.C. 314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Pallos v. Insurance Corp</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of British Columbia</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53 B.C.A.C. 310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Paller v. Paller,</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2004 BCSC 977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Wiebe v. Neal</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2004 BCSC 984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Tobin v. Monkman</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2004 BCSC 839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Moore</w:t>
      </w:r>
      <w:r>
        <w:rPr>
          <w:rFonts w:ascii="arial" w:eastAsia="arial" w:hAnsi="arial" w:cs="arial"/>
          <w:color w:val="000000"/>
          <w:sz w:val="20"/>
          <w:lang w:val="en-US" w:eastAsia="en-US" w:bidi="ar-SA"/>
        </w:rPr>
        <w:t xml:space="preserve">, I considered the decision of Finch J.A. (as he then was) in </w:t>
      </w:r>
      <w:r>
        <w:rPr>
          <w:rFonts w:ascii="arial" w:eastAsia="arial" w:hAnsi="arial" w:cs="arial"/>
          <w:b/>
          <w:i/>
          <w:color w:val="000000"/>
          <w:sz w:val="20"/>
          <w:lang w:val="en-US" w:eastAsia="en-US" w:bidi="ar-SA"/>
        </w:rPr>
        <w:t>Pallos</w:t>
      </w:r>
      <w:r>
        <w:rPr>
          <w:rFonts w:ascii="arial" w:eastAsia="arial" w:hAnsi="arial" w:cs="arial"/>
          <w:color w:val="000000"/>
          <w:sz w:val="20"/>
          <w:lang w:val="en-US" w:eastAsia="en-US" w:bidi="ar-SA"/>
        </w:rPr>
        <w:t>. He found that the plaintiff must prove future loss is a real possibility and that there is a reasonable chance such loss will occur. However, he added that consideration of the issue should not be limited to this test. He went on to find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in this case, properly considered, is that he has a permanent injury, and permanent pain, which limit him in his capacity to perform certain activities and which, therefore, impair his income earning capacity. The loss of capacity has been suffered even though he is still employed by his pre-accident employer, and may continue to be so employed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At para. 43, Finch J.A. noted that there are a variety of arithmetic approaches that may be adopted to assess an award for loss of future earning capacity. He found all such approaches arbitrary and ultimately held the duty of the court is to make a "fair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Moore</w:t>
      </w:r>
      <w:r>
        <w:rPr>
          <w:rFonts w:ascii="arial" w:eastAsia="arial" w:hAnsi="arial" w:cs="arial"/>
          <w:color w:val="000000"/>
          <w:sz w:val="20"/>
          <w:lang w:val="en-US" w:eastAsia="en-US" w:bidi="ar-SA"/>
        </w:rPr>
        <w:t xml:space="preserve">, I noted that at para. 70 Huddart J.A. "provided a useful review of the principles relating to an award for loss of earning capacity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at paras. 8-12, which were subsequently applied in </w:t>
      </w:r>
      <w:r>
        <w:rPr>
          <w:rFonts w:ascii="arial" w:eastAsia="arial" w:hAnsi="arial" w:cs="arial"/>
          <w:b/>
          <w:i/>
          <w:color w:val="000000"/>
          <w:sz w:val="20"/>
          <w:lang w:val="en-US" w:eastAsia="en-US" w:bidi="ar-SA"/>
        </w:rPr>
        <w:t>Paller</w:t>
      </w:r>
      <w:r>
        <w:rPr>
          <w:rFonts w:ascii="arial" w:eastAsia="arial" w:hAnsi="arial" w:cs="arial"/>
          <w:color w:val="000000"/>
          <w:sz w:val="20"/>
          <w:lang w:val="en-US" w:eastAsia="en-US" w:bidi="ar-SA"/>
        </w:rPr>
        <w:t xml:space="preserve"> at para. 50". Those principles are no less applicable to the case before me and can be summarized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be put into the position he would have been in but for the accident so far as money can do that.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proof to be applied when evaluating hypothetical events that may affect an award is simple probability, not the balance of probabilities.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judge's task is to assess the loss on a judgmental basis, taking into consideration all the relevant factors arising from the evidence.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the overall fairness and reasonableness of the award must be considered taking into account all the evidence.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a Plaintiff is able to earn the same amount of income from alternative employment, he would still be entitled to compensation for loss if occupations previously available were closed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Finally, the case law has consistently applied the relevant factors for assessing the value of the lost or impaired asset set out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order to trigger the four considerations set out above, the Plaintiff must put forward cogent evidence that she has been rendered less capable overall of earning income from all types of employment, that she is less marketable, that she can not take advantage of job opportunities she otherwise might have, or is less valuable as a person capable of earning income. There is no evidence that the Plaintiff in this case is less capable of earning income, is less marketable, can not take advantage of job opportunities, or is less valuable as a person earning income. In fact, she earns more at her current job than she did at Home Depot and works more hours per week. There is no evidence from which I might conclude that an employment asset she previously enjoyed was impaired or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Nor has the Plaintiff put forward sufficient evidence to prove any permanent partial disability, or that there is a substantial possibility her ability to earn future income is diminished. In my opinion, with exercise and motivation the Plaintiff will return to her condition before the accident. There is no evidence she has sustained the loss of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summary there is no evidentiary foundation for an award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conclusion, I award Ms. Penland damages for past loss of income. This figure is to be based on a loss of eleven weeks and one day of work at $10 an hour for 33 hours per week, and an additional 60 hours of graduated return to work. It will also include compensation for her period of unemployment after February 2006 until she commenced work at the Days Inn. As discussed, this will be based on an 80 percent multiplier.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Additionally, I award the following damages: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$30,000;</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$400;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of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decline to make an award of damages for impaired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P.S. v. Miki, [2005] B.C.J. No. 654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S81426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406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391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406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P.S., plaintiff, and Ronald Hisashi Miki, Kenneth K. Miki and Dr. K. Miki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5"/>
      <w:bookmarkEnd w:id="162"/>
      <w:r>
        <w:rPr>
          <w:rFonts w:ascii="arial" w:eastAsia="arial" w:hAnsi="arial" w:cs="arial"/>
          <w:b/>
          <w:color w:val="000000"/>
          <w:sz w:val="20"/>
          <w:lang w:val="en-US" w:eastAsia="en-US" w:bidi="ar-SA"/>
        </w:rPr>
        <w:t xml:space="preserve">Civil procedure — Disposition without trial — Dismissal of action — Action unfounded in law — Landlord and ten-ant law — Duties of landlord — Breach by landlord — Tort law — Occupiers' liability — Vicarious liability — For independent contractors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Foreseeability and remoteness.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3" w:name="Case Summary_23"/>
            <w:bookmarkEnd w:id="1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Kenneth Miki to dismiss the action of PS. Kenneth rented a property to PS and her husband in 1995. In 2001 Kenneth decided to sell the property and was told it required repairs. The defendant Ronald Miki was Kenneth's cousin. Kenneth hired Ronald to do the repairs. During the course of the repairs he inappropriately touched PS and made improper comments and gestures. Ronald was charged with sexually assaulting her and pleaded guilty to assault. At issue was whether Kenneth could be found vicariously liable for Ronald's actions.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4" w:name="Holdings of Court_18"/>
            <w:bookmarkEnd w:id="16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Ronald was not an independent contractor. He was not in the business of doing home renova-tions. He was a carpenter who normally worked for a corporation that had no connection to the home renovation business. Consequently, Kenneth had a duty, pursuant to section 3 of the Occupiers Liability Act, to take care that in all circumstances of the case it would be reasonable to see that PS would be reasonably safe in using his premises. If Ronald was an independent contractor it was reasonable for Kenneth to have undertaken the work. Kenneth exercised reasonable care in his selection of Ronald and the level of supervision he provided. Fairly minor renovations were being undertaken. It would not be realistic to require Kenneth to constantly be at the property. Kenneth's reasonable supervision would not have prevented the occurrence of Ronald's objectionable conduct. PS also failed to show it was reasonably foreseeable that Ronald would act as he did. The relationship between Kenneth and Ronald was sufficiently close to make a claim for vicarious liability possible. However, Kenneth was not vicariously liable for Ronald's actions.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Legislation Cited_10"/>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6"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57(18),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 266, s. 271(1).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508"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 s. 3(1), s. 3(2), s. 5, s. 5(1),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Protection of Children Act, R.S.B.C. 1960, c. 303.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6" w:name="Counsel_25"/>
      <w:bookmarkEnd w:id="1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M.S. Menkes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Kenneth K. Miki and Dr. K. Miki Inc.: J. Woznesensky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Ronald Hisashi Miki: P.A. Riddell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7" w:name="Judgment_25"/>
      <w:bookmarkEnd w:id="167"/>
      <w:r>
        <w:pict>
          <v:line id="_x0000_s1148"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8" w:name="BURNYEAT J."/>
            <w:bookmarkEnd w:id="168"/>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Kenneth K. Miki ("Dr. Miki") and Dr. K. Miki Inc. ("Inc.") apply pursuant to Rule 18A of the Rules of Court for an order dismissing the action of Ms. P.S.. Between September 9 and 27, 2001, Ronald Hisashi Miki ("Mr. Miki") admits that he committed "battery" upon Ms. P.S. consisting of inappropriate touching accompanied by inappropriate comments and gestures. Mr. Miki was charged criminally with sexually assaulting Ms. P.S. contrary to s. 271(1) of the Criminal Code, pleaded guilty to the offence of assault contrary to s. 266 of the Criminal Code, and was sentenced to a Conditional Discharge with one of the conditions being that he was to receive medical counselling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question which arises regarding the claim of Ms. P.S. against Dr. Miki and Inc. is whether those Defendants can be found vicariously liable for the damages suffered by Ms. P.S. because of the assaults of Mr. Miki.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a September 30, 1995 tenancy agreement, Inc. rented property in Coquitlam ("Property") to Mr. and Mrs. S.. Thereafter, rent for the Property was paid directly to Dr. Miki. Dr. Miki states that, in the early summer of 2001, he gave some thought to selling the Property and then arranged for an "assessor" to view the Property. Dr. Miki states that he was told by the "assessor" that the floor in the main bathroom upstairs and the kitchen of the Property required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Miki and Mr. Miki are cousins. However, Dr. Miki states that he never acted as the physician of Mr. Miki and: ". . . I do not consider us to have a close relationship." Dr. Miki states that he knew that Mr. Miki was trained as a carpenter, was employed as such for B.C. Ferries, but that he was not then working at B.C. Ferries. Dr. Miki states in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hired Mr. Miki to complete these repairs on the Property. I do not know much about home improvement therefore, I simply asked Mr. Miki to fix the problems pointed out by the assessor. I did not instruct him how to do the repairs or provide him with any training in that regard. I relied on Mr. Miki's skills and expertise to carry out the repairs in proper and safe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chose and supplied the materials he needed and supplied and used his own tools for the repairs. I attended the Property when the repairs were completed to inspect the work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did not work fixed hours but instead worked as necessary to get the work done on his own schedule. I advised the Plaintiff and her family that Mr. Miki would be present on the Property to conduct repairs. I never told the Plaintiff or her family that cooperation with Mr. Miki was a condition of their tenancy and occupation of the house as alleged in paragraph 11 of the Statement of Claim. I never told the Plaintiff that she was required to help Mr. Miki with the repairs. I only told her that Mr. Miki would require access to the Property to perform the repairs. I first became aware that the Plaintiff had accused Mr. Miki of sexual assault on or about September 27, 2001. I was shocked and surprised by the allegations. The behaviour alleged by the Plaintiff, if true, clearly falls outside what I had asked and hired Mr. Miki to do at the Property. When I hired my cousin, I was not aware that he had a propensity to commit sexual assault as alleged by the Plaintiff. I was not aware of any allegations involving sexual assault against Mr. Miki until the Plaintiff's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Miki indicated that Mr. Miki charged both an hourly rate for his labour and for the materials he used for the repairs and that he was not paid a set amount ahead of time. Dr. Miki states that he received an invoice from R.M. Construction Ltd. totalling $2,650.00 representing materials of $1,250.00 and labour of 56 hours at $25.00 per hour. A subsequent search indicates that R.M. Construction Ltd. was not an incorporated entity as it had been dissolved by the Registrar of Companies on August 30,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has been no cross examination of Dr. Miki on his Affidavit and no discoveries of either Dr. Miki or an officer of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her affidavit, Ms. P.S. states that, on August 30, 2001, Dr. Miki informed her that Mr. Miki would be doing work at the Property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he would need access to the inside of the Property, and that he needed me to cooperate with Ron [Mr. Miki] during the renovations and that if I did so without too much hassle, he would waive one half months rent for us. Dr. Miki also told me that Ron Miki was a really nice, easy-going guy and I wouldn't have any problems with him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Ron Miki, as the work progressed, and he became more familiar with me, become [sic] more bold in his advances, in spite of repeated expressed rejection by me of these advances. He seemed to completely ignore me when I said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disclose any of this activity to anyone until September 23, 2001, when I told Bill [her husband]. I was raised that "nothing was so important that I should upset Dad", and so I was afraid to tell Bill or anyone else because the news was upsetting. I didn't tell Dr. Miki because I did not think he would believe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Ron Miki's inappropriate advances were so frequent that, if anyone would have come by unannounced, that person would very likely have caught Ron Miki in the act. For example, my eldest son who was 17 years old at the time was very suspicious of Ron Miki. On one occasion, [my son] . . . came home early from school and found Ron Miki and myself in the garage. Prior to [my son] . . . walking through the garage door, Ron Miki had been trying to convince me to have an affair with him. As soon as [my son] . . . appeared, Ron Miki was silent. [my son] . . . came between Ron Miki and myself, and asked me to come to the kitchen, where he asked me what was going on. I was only able to tell [my son] . . . , "he was bugging me". Ron Miki's voice had been quite loud and the door was open. It was very likely [my son] . . . had overheard Ron Miki's advances.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Dr. Miki never bothered to come to the Property once during this period Ron Miki was during [sic] the work. Dr. Miki only called me once, within the third day, to ask, "How are things going?" At the time, I said, "okay," although Ron Miki had that day attempted to kiss me in the bathroom, which was his first advance. Dr. Miki told me "Ron really likes you." I did not comment back. That was the whole extent of the conversation.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always found Dr. Miki an intimidating character. He also was rather chauvinistic towards me. He would be polite with me, but wouldn't take me seriously. For example, when I complained to Dr. Miki about our broken dishwasher on or about August 1999, I first spoke to Mrs. Miki, who told me "Ken's not going to be happy with you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few days prior to September 21st, 2001, Ron Miki threaten [sic] me that he knew where my kids went to school as he warned me not to tell Dr. Miki about his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Miki deposes in his affidavit . . . that "I simply asked [Ron] Miki to fix the problems pointed out by my assessor." However, it appears to me that Ron Miki was doing whatever repair work Ron Miki himself found around the property. Ron Miki never made any calls in my presence using our home phone or his cell phone to Dr. Miki seeking instructions or authorization.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with [the assessor] . . . when he inspected the property, and verbally he had only pointed out the kitchen and bathroom floors during this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most often with Ron Miki during the course of the renovations, and I went with him to Home Depot on three occasions to purchase materials, on the pretext of wanting my opinion in selecting them. I really enjoy home renovations, so I was initially happy to come. On the first occasion, Ron Miki commented that this was our "first date", and I thought it was a joke. The first two occasions were prior to the attempted kiss in the bathroom. On the third occasion, [my son] . . . came with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Ron Miki always appeared to have authority to pay for materials, and never made a call to Dr. Miki for authorization or appeared to be concerned about cost. As far as it appeared to me, Dr. Miki had given Ken [sic] Miki full authority to authorize repairs and purchase materials on Dr. Miki's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assistance to Ron Miki included everything from assisting with heavy lifting to helping him pick out materials. Notwithstanding his outrageous and often offensive conduct, the amount of assistance I had to provide to Ron Miki was extremely disruptive to my regular routine.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observed his work and found his work to be rather unprofessional in quality. For example, after he installed the kitchen floor, he did not install side moulding behind the stove and refrigerator. I commented to him, "That looks very unprofessional." He responded, "I'm not a professional."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Paragraph 3 of Dr. Miki's affidavit, he deposes "I do not consider [myself and Ron Miki] to have a close relationship." However, this is not the impression I received from either Dr. Miki or Ron Miki. Dr. Miki specifically had described Ron Miki as trustworthy in his eyes. Ron Miki spoke frequently about his relationship with his cousin, including visiting Dr. Miki's house and purchasing property together. I relied upon Dr. Miki's assurances, which Dr. Miki had emphasised to me, that I could trust Ron Miki in my house and in my presence.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Ron Miki was a very talkative person while I dealt with him. He went on and on about his employment with B.C. Ferries, but never remotely suggested he did any contracting work outside the scope of that employment. He told me he was on psychiatric leave from his employment on the same day he tried to kiss me in the bathroom, which was why he was "doing this favour for Kenny", because Dr. Miki had "helped me through my breakdown". Ron Miki never disclosed a diagnosis to me. He suggested he was having trouble dealing with the stress of the politics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his affidavit, the husband of Ms. P.S. states that Dr. Miki stated that Mr. Miki was his cousin and "was on leave from his normal employment as a handyman, was going to come and do the work." Mr. S. also states that Mr. Miki told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he was doing the work as a favour for his cousin Dr. Miki. I had helped Ron Miki on a few occasions with landscaping and other small things. I found Ron Miki to be personable and non-threatening. He made come [sic] flattering comments to me about my wife, but the comments seemed to me to be within appropriate boundaries of good taste and made no suggestion of any intention to make advances on my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and I both felt that we were doing Dr. Miki a favour by cooperating with Ron Miki as well as under some moral if not legal compulsion. I personally felt that, because Dr. Miki was a doctor and therefore a respected member of the community, and because Dr. Miki had placed his trust in Ron Miki and represented Ron Miki to be his cousin, that I had been induced to trust Ron Miki as an extension of my trust in Dr. Miki. Dr. Miki's representations satisfied real concerns I had about a stranger in my house alone with my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affidavit, the eldest son of the Plaintiff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recall the incident in the garage as my mother deposed in her affidavit. I was 17 years old at the time. One day a week I had a free block in the afternoon at school, and this was one of those occasions. The garage is facing the street, and as I returned home from school, I noticed the door to the garage was open. I also noted that Ron Miki's van was in the driveway in front of the garage. I therefore assumed that someone was home, and that likely Ron Miki and my mother were in the garage. I approached the garage because I was already suspicious of Ron Miki and therefore protective of my mother.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already on previous occasions overheard Ron Miki offering my mother compliments about her appearance. It was the frequency of these comments which caused me to be both suspicious and concerned, as well as my observations of Ron Miki appearing to leer at my mother or put himself in a position where he had opportunities to initiate physical contact with my mother.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at least three occasions, I observed Ron Miki standing in the presence of my mother silently leering at her for several seconds until I interrupted by attempting to strike up a conversation.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recall three incidents, including the "garage incident", where my mother would be bent over working on the flooring or for some other reason, and Ron Miki, rather than move around my mother, he would take the opportunity [to] move behind my mother and touch her with both hands on the hips, back, or waist area as if they were in a more confined space and needed to squeeze together for him to get past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tried to confront my mother about Ron Miki's behaviour, by asking her things like "how's it been today", referring to Ron Miki's behaviour towards her. Her response usually was "it was fine today," or "I can handle it", or "it's my problem and I will take care of it," but she also asked me to stay in the room with her when Ron Miki was around. She also appeared to being deliberately keeping doors and windows open. My impression was that my mother was attempting to minimize situations of privacy between herself and Ron Miki and maximize escape opportunities.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mother never really acknowledged to me what was happening until the day she told my dad. However, she seemed to understand that I knew what was happening. She asked me explicitly not to speak to my father about it. We were both concerned about worrying him. He had suffered a serious heart attack in 1999, and we were all aware that stress was very dangerous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spite of this concern, I tried to diplomatically explain my concerns to my dad. I asked him if he was comfortable having a complete stranger working alone around my mother. He dismissed my concerns as overreacting, and stressed to me that Ron Miki could be trusted because he was our landlord's cousin. He also emphasized our obligation to cooperate with the landlord's need to put the property into a condition fit for sale. It did not appear to me that my dad had any idea what was actually happening between Ron Miki and my mother, and I was not prepared to even hint at the basis for my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garage incident occurred after all these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that occasion, I heard my mother yelling as if in distress, although I could not make out any words, before I entered. When I entered, I observed the kitchen flooring material was standing up at the side of the garage. Ron Miki's back was to me and my mother was facing both myself and . . . [Ron Miki]. They were less than an arm's length apart from each other. I did not announce my entry, and I observed a startled reaction from Ron Miki as if I had caught him from surprise. I presumed from their position that Ron Miki had been touching my mother as I had previously described.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mother's hands were on her hips and her body appeared to be very tense, and she looked at me as if it was written on her face that something inappropriate had occurred between them, mixed with relief that I had intervened. I tried to be very casual as I asked my mom to talk with me in the kitchen, which we did. I confirm that my mother's account of our discussion in the kitchen is accurate. Ron Miki was unusually quiet around me for the remainder of the afternoon until he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Ordinarily, before the incident in the garage, Ron Miki had been very friendly and talkative to the point of being annoying. Ron Miki remained very quiet around me ever since the garage incident. Anything he did say to me was very brisk or sarcastic in 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Miki provided a Reply to Interrogatories. In his Reply, he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Ron Miki had told me that he was taking Celexa, an antidepressant. Ron's wife may have told me that he was not working because he was depressed. I have had no contact with Ron Miki's family doctor or his psychiatrist. I have not received any documentation with regard to Ron's medical diagnosis and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Ron Miki was not working for me "as a favour" to me for helping him through his breakdown. He was working for me because I required repairs done on the Property and he was paid for the work performed. I provided no treatment to him with respect to any mental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summer of 2001 up to September, 2001, Ron seemed to be withdrawn and sad. However, I never provided any clinical diagnosis as I was not, and am not, his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Ron Miki had never performed any renovations or handyman services for me or my company prior to September 2001. I was aware that Ron had built his own home 25 years ago. I had visited his home approximately 10 times over the past 25 years. Based on the quality of the work I saw at his home, and knowing that he was trained as a carpenter, I believed that he would carry out the repairs in a professional manner and that they would be of good quality.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never told Mrs. P.S. that "Ron really likes you". I do not recall Ron ever telling me anything which would give me the impression that he "really liked" Mrs. 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Ron Miki contacted me during the course of the repairs to point out other things which could be repaired. I asked him to perform those repairs. The repairs he conducted are itemised in the bill he provided me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instructed Ron Miki to carry out repairs to the Property. I agreed to pay him for materials required and also pay him an hourly wage of $25/hour.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would have hired Ron Miki to conduct the renovations and repairs on the Property even if he was not my relative because I had visited his home in the past and seen the good quality of his work as a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APPLICABLE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duties of an occupier such as a landlord are set out in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 Sections 3 and 5 of the Act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 . . will be reasonably safe in using the premises.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Despite section 3(1),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not on that account liable under this Act if, in all these circumstances,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of and supervision of the independent contractor,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Subsection (1) must not be construed as restricting or excluding the liability, imposed by any other Act, of an occupier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occupier's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first question which arises is whether Mr. Miki was an independent contractor or not. In this regard, I find that Mr. Miki was not in the business of doing home renovations, was moonlighting for an hourly wage on a one-time project, was an otherwise gainfully employed carpenter who normally worked for a corporation with no connection to the home renovation business, was using his personal vehicle, was reimbursed for his gasoline and expenses, hired no helpers, was paid for his time and materials, took no financial risk in undertaking the work, provided no quote, had no responsibility to manage a project budget, provided no accounting or receipts for his materials and fuel, and charged no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question to be asked is: "is the person who has engaged himself to perform these services performing these services on his own account? If the answer to that question is "yes", then the person is an independent contractor undertaking a contract for services. If the answer is "no", then the contract is a contract of service by an employee. In determining this question, Cooke J. in Market Investigations Ltd. v. Min. Social Security, [1968] 3 All E.R. 732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that can be said is that control will no doubt always have to be considered, although it can no longer be regarded as the sole determining factor; and that factors, which may be of importance, are such matters as whether the man performing the services provides his own equipment, whether he hires his own helpers, what degree of financial risk he takes, what degree of responsibility for investment and management he has, and whether and how far he has an opportunity of profiting from sound management in the performance of his task. The application of the general test may be easier in a case where the person who engages himself to perform the services does so in the course of an already established business of his own; but this factor is not decisive, and a person who engages himself to perform services for another may well be an independent contractor even though he has not entered into the contract in the course of an existing business carried on by him". (at pp. 737-8)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Taking into account the factors set out in Market Investigations, I cannot conclude that Mr. Miki was an independent contractor. Accordingly, I am satisfied that the duty of care established under s. 3 of the Act prevails and that s. 5 of the Act does not come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If I am wrong in reaching this conclusion, then the questions which arise are whether it was reasonable that the work be undertaken and whether reasonable care was taken in the selection and supervision of Mr. Miki as an independent contractor. It is clear that it was reasonable that the work be undertaken. Accordingly, was reasonable care taken by Dr. Miki in the selection and supervision of Mr. Miki?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Grochowich v. Okanagan University College </w:t>
      </w:r>
      <w:hyperlink r:id="rId509" w:history="1">
        <w:r>
          <w:rPr>
            <w:rFonts w:ascii="arial" w:eastAsia="arial" w:hAnsi="arial" w:cs="arial"/>
            <w:i/>
            <w:color w:val="0077CC"/>
            <w:sz w:val="20"/>
            <w:u w:val="single"/>
            <w:shd w:val="clear" w:color="auto" w:fill="FFFFFF"/>
            <w:lang w:val="en-US" w:eastAsia="en-US" w:bidi="ar-SA"/>
          </w:rPr>
          <w:t>[2004] B.C.J. No. 1156</w:t>
        </w:r>
      </w:hyperlink>
      <w:r>
        <w:rPr>
          <w:rFonts w:ascii="arial" w:eastAsia="arial" w:hAnsi="arial" w:cs="arial"/>
          <w:color w:val="000000"/>
          <w:sz w:val="20"/>
          <w:lang w:val="en-US" w:eastAsia="en-US" w:bidi="ar-SA"/>
        </w:rPr>
        <w:t xml:space="preserve"> (B.C.C.A.), Rowles J.A. on behalf of the Court dealt with a plaintiff who was struck on the back of the head by the handle of a lawnmower protruding from a trailer being towed by a small tractor on the campus of the College and who sued not only the operator of the tractor but the College. In dealing with s. 5 of the Act, Rowles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5 of the Act becomes relevant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effect of s. 5 of the Act is to change the consequences to the occupier of a breach of duty of care for the safety of persons on the premises, "if, in all the circumstances, the occupier exercised reasonable care in the selection and supervision of the independent contractor, and it was reasonable that the work that the independent contractor was engaged to do should have been undertaken."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 5 modifies the consequences of a breached duty of care of the safety of persons on the premises set forth in s. 3, it seems clear that the requirement of s. 5(1)(a) to show that reasonable care was taken in the supervision of the independent contractor must be read so as to include supervision with regard to safety. If the supervision of the independent contractor in s. 5(1)(a) does not include supervision with regard to safety, that is, if there were no requirement that the occupier advert to the safety of the persons on the premises when reasonably supervising the work of an independent contractor, then the statutory duty of care set out in s. 3 would become meaningless once an independent contractor was hired. Such a result could not be obtained by a harmonious reading of the provisions in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supervision of the independent contractor referred to in s. 5(1)(a) must entail supervision having regard to the safety of persons on the premises, the level of supervision required may vary with the circumstances. To meet the requirements of s. 5(1)(a) in regard to supervision, the occupier must show that, "in all the circumstances, the occupier exercised reasonable care in the . . . supervision of the independent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level of supervision required may vary with the circumstances, there remains a positive duty to exercise reasonable care in the supervision of the independent contractor. To put it another way, the Act cannot be construed in such a way as to abrogate the statutory requirements under s. 5(1)(a) that the occupier supervise the independent contractor with regard to safety. (at paras.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assumption that Mr. Miki was an independent contractor, I have concluded that the level of supervision was adequate in the circumstances. Fairly minor renovations were being undertaken at a rental property. It would not be realistic to require the owner of rental property to be on the site to provide hourly or even daily supervision. It would not be realistic for the owner of Property to accompany an independent contractor to a building supply company such as Home Depot three times in order to provide supervision of the independent contractor when he or she was off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Miki was supervising the scope of the work by speaking with Mr. Miki from time to time. Given the nature of the work being undertaken, that level of supervision was reasonable to assure that the work being undertaken was being done in a workmanlike and safe manner. I also find that the supervision in place was reasonable in the circumstances. What was done and said by Mr. Miki was unacceptable and actionable. However, I cannot conclude that any amount of reasonable supervision by Dr. Miki would have prevented the occurrence of what was done by Mr. Miki. It would not be reasonable to require a landlord to be beside Mr. Miki at all times. I am also satisfied that the requirement of unannounced visits was not reasonable in the circumstances. While counsel for Ms. P.S. submits that the occasional unannounced visit might well have dissuaded the unacceptable activities of Mr. Miki, I cannot reach that conclusion. The unannounced arrivals of the son of Ms. P.S. did not have that effect and I can conclude that the unannounced arrivals of Dr. Miki would not have dissuaded Mr. Miki from his assaults of Ms. P.S.. I find that Dr. Miki exercised reasonable care in the supervision of Mr. Miki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also find that Dr. Miki exercised reasonable care in the choice of Mr. Miki as the person to undertake the work that was required. In this regard, I find that Dr. Miki and Inc. exercised reasonable care in the selection of Mr. Miki and that it was not reasonable foreseeable that Ms. P.S. would be injured as she was. I reach this conclusion whether or not Mr. Miki an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duty of care is only owed to persons whom one would reasonably foresee would be injured by a contemplated act or omission. In Home Office v. Dorset Yacht Co., [1970] 2 All E.R. 294 (H.L.), Lord Reid on behalf of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cases show that, where human action forms one of the links between the original wrongdoing of the defendant and the loss suffered by the plaintiff, that action must at least have something very likely to happen if it is not to be regarded as novus actus interveniens breaking the chain of causation. I do not think that a mere foreseeable possibility is or should be sufficient, for then the intervening human action can more properly be regarded as a new cause than as a consequence of the original wrongdoing. But if the intervening action was likely to happen I do not think it can matter whether that action was innocent or tortious or criminal. Unfortunately tortious or criminal action by a third party is often the "very kind of thing" which is likely to happen as a result of the wrongful or careless act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Smith et al v. Littlewoods Organization Ltd., [1987] 1 All E.R. 710 (H.L.), Lord McKay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test of liability set out by Lord Macmillan in Hay (or Bourhill) v. Young . . . [1943] A.C. 92 at 104, namely: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duty to take care is the duty to avoid doing or omitting to do anything the doing or omitting to do which may have as its reasonable and probable consequence injury to others, and the duty is owed to those to whom injury may reasonably and probably be anticipated if the duty is not observed" (my emphasis),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expressly used by Lord Thankerton and Lord Macmillan. Lord Wright said (Glasgow Corporation v. Muir, [1943] A.C. 448 at 465):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two men [who were carrying the urn] were not their [i.e. the defenders'] servants. They were not responsible for their acts. That the men should be negligent in so simple an operation was not likely to happen. It was a mere possibility, not a reasonable probability. The men, if negligent, were, no doubt, responsible for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from the standpoint of the appellants the risk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mere unlikely accident which no responsible person in [the manageress's] position could naturally be expected to foresee.'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pp. 720-1)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 conclude, in agreement with both counsel, that what the reasonable man is bound to foresee in a case involving injury or damage by independent human agency, just as in cases where such agency plays no part, is the probable consequences of his own act or omission, but that, in such a case, a clear basis will be required on which to assert that the injury or damage is more than a mere possibility. (at p. 721)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Ms. P.S. must be able to show that it was reasonably foreseeable that Mr. Miki would assault her. In Newton v. Newton, </w:t>
      </w:r>
      <w:hyperlink r:id="rId510" w:history="1">
        <w:r>
          <w:rPr>
            <w:rFonts w:ascii="arial" w:eastAsia="arial" w:hAnsi="arial" w:cs="arial"/>
            <w:i/>
            <w:color w:val="0077CC"/>
            <w:sz w:val="20"/>
            <w:u w:val="single"/>
            <w:shd w:val="clear" w:color="auto" w:fill="FFFFFF"/>
            <w:lang w:val="en-US" w:eastAsia="en-US" w:bidi="ar-SA"/>
          </w:rPr>
          <w:t>(2003) 17 B.C.L.R. (4th) 1</w:t>
        </w:r>
      </w:hyperlink>
      <w:r>
        <w:rPr>
          <w:rFonts w:ascii="arial" w:eastAsia="arial" w:hAnsi="arial" w:cs="arial"/>
          <w:color w:val="000000"/>
          <w:sz w:val="20"/>
          <w:lang w:val="en-US" w:eastAsia="en-US" w:bidi="ar-SA"/>
        </w:rPr>
        <w:t xml:space="preserve"> (B.C.C.A.), Lambert J.A. on behalf of the Court emphasized that it was necessary to consider the question of whether a duty of care was owed in relation to a foreseeable risk of harm that injury would be caused within the risk that was foreseeable and that liability can not lie solely on unpredictability producing a result that everything unpredictable which occurs should have been foreseeable and should give rise liability (at paras. 9 - 10).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Having regard to all of the circumstances, I cannot conclude that it was reasonably foreseeable that Mr. Miki would act as he did. I am satisfied that there was nothing which would lead to Dr. Miki as a reasonable person to have foreseen, even as a possibility, that Ms. P.S. might be in danger of harm arising from the access that Mr. Miki would have to the S. home or that any greater precautions were needed. As cousins, it is likely that any previous inappropriate behaviour would have come to the attention of Dr. Miki. Dr. Miki was not the physician for Mr. Miki so that nothing would have come to his attention from a physician-patient relationship. There is nothing in evidence which would allow me to conclude that a reasonable person or a reasonable medical doctor should have foreseen that a person off work because he was depressed or a worker taking an antidepressant such as Celexa would put third parties at risk if they were given access to a home or if no precautions for supervision were put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find that the situation was similar to the decision found by the court in Rendall v. Ewert </w:t>
      </w:r>
      <w:hyperlink r:id="rId511" w:history="1">
        <w:r>
          <w:rPr>
            <w:rFonts w:ascii="arial" w:eastAsia="arial" w:hAnsi="arial" w:cs="arial"/>
            <w:i/>
            <w:color w:val="0077CC"/>
            <w:sz w:val="20"/>
            <w:u w:val="single"/>
            <w:shd w:val="clear" w:color="auto" w:fill="FFFFFF"/>
            <w:lang w:val="en-US" w:eastAsia="en-US" w:bidi="ar-SA"/>
          </w:rPr>
          <w:t>(1989) 38 B.C.L.R. (2d) 1</w:t>
        </w:r>
      </w:hyperlink>
      <w:r>
        <w:rPr>
          <w:rFonts w:ascii="arial" w:eastAsia="arial" w:hAnsi="arial" w:cs="arial"/>
          <w:color w:val="000000"/>
          <w:sz w:val="20"/>
          <w:lang w:val="en-US" w:eastAsia="en-US" w:bidi="ar-SA"/>
        </w:rPr>
        <w:t xml:space="preserve"> (B.C.C.A.). In Rendall, the plaintiff claimed under the Act against the defendant home owners for injury she suffered when she was assaulted by the adopted son of the defendants while a guest in their home. Their son had a key which he used to gain entry to the house but, at the time of the assault against the plaintiff, his parents had no knowledge of his propensity to violence. At trial, the jury dismissed the action for a lack of reasonable foreseeable. The Court of Appeal affirmed this decision on the grounds that the injury to the plaintiff was not reasonably foreseeable having regard to all of the circumstances. For the majority, Esson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considered the whole of the evidence, I see no reasonable possibility that any jury, however fully instructed, would have come to any different conclusion. That is because I see nothing in the evidence from which it could reasonably be inferred that any reasonable person in the position of the Ewerts would have foreseen, even as a possibility, that the plaintiff was at any risk of harm arising from Jeffrey Ewert having access to the house or that any greater precautions were needed. (at p.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also find the facts here to be similar to those set out in G.A. v. McGregor (2003) 48 C.P.C. (5th) 200 (Alta. Q.B.); where the plaintiff brought an action against her property managers who were husband and wife and against the owner of the property she rented after she was sexually assaulted by the managers on her premises. The allegation against the owner included failing to properly supervise the manager. It was found that the owner was not aware of any relevant prior misconduct by the manager. Verville J. found that the owner was aware that the managers were heavy drinkers, that they had fought with each other, that one of them had been arrested and was at times verbally abusive but still dismissed the action on the basis that the sexual assault was not foreseeable. In dealing with the question of the vicarious liability, Verville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make out a successful claim for vicarious liability, the Plaintiff must demonstrate at least two things. First, she must show that the relationship between the McGregors and St. Regis is sufficiently close as to make a claim for vicarious liability appropriate. Second, she must demonstrate that the tort is sufficiently connected to the McGregors' assigned tasks that the tort can be regarded as a materialization of the risks created by the enterprise.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also find the facts in this case to be similar to those set out in Q. et al v. Minto Management Ltd. et al </w:t>
      </w:r>
      <w:hyperlink r:id="rId512" w:history="1">
        <w:r>
          <w:rPr>
            <w:rFonts w:ascii="arial" w:eastAsia="arial" w:hAnsi="arial" w:cs="arial"/>
            <w:i/>
            <w:color w:val="0077CC"/>
            <w:sz w:val="20"/>
            <w:u w:val="single"/>
            <w:shd w:val="clear" w:color="auto" w:fill="FFFFFF"/>
            <w:lang w:val="en-US" w:eastAsia="en-US" w:bidi="ar-SA"/>
          </w:rPr>
          <w:t>(1985), 49 O.R. (2d) 531</w:t>
        </w:r>
      </w:hyperlink>
      <w:r>
        <w:rPr>
          <w:rFonts w:ascii="arial" w:eastAsia="arial" w:hAnsi="arial" w:cs="arial"/>
          <w:color w:val="000000"/>
          <w:sz w:val="20"/>
          <w:lang w:val="en-US" w:eastAsia="en-US" w:bidi="ar-SA"/>
        </w:rPr>
        <w:t xml:space="preserve"> (Ont. H.C.J.), where the plaintiff was raped in her own apartment by a maintenance man hired by the defendant rental complex. The rapist had gained access to the apartment by using a master key to which he had easy access. Another woman had been raped in her apartment in similar circumstances three months prior to the incident. The defendant complex had knowledge of this prior assault and knew it had likely been committed by a person with access to the master keys. Although Gray J. found the complex was directly negligent as it took no steps to change the keys, vicarious liability was not imposed on the complex because Gray J. found that the rape was insufficiently related to the scope of the employment of the maintenance man. The Ontario Court of Appeal </w:t>
      </w:r>
      <w:hyperlink r:id="rId513" w:history="1">
        <w:r>
          <w:rPr>
            <w:rFonts w:ascii="arial" w:eastAsia="arial" w:hAnsi="arial" w:cs="arial"/>
            <w:i/>
            <w:color w:val="0077CC"/>
            <w:sz w:val="20"/>
            <w:u w:val="single"/>
            <w:shd w:val="clear" w:color="auto" w:fill="FFFFFF"/>
            <w:lang w:val="en-US" w:eastAsia="en-US" w:bidi="ar-SA"/>
          </w:rPr>
          <w:t>(1986), 34 D.L.R. (4th) 767</w:t>
        </w:r>
      </w:hyperlink>
      <w:r>
        <w:rPr>
          <w:rFonts w:ascii="arial" w:eastAsia="arial" w:hAnsi="arial" w:cs="arial"/>
          <w:color w:val="000000"/>
          <w:sz w:val="20"/>
          <w:lang w:val="en-US" w:eastAsia="en-US" w:bidi="ar-SA"/>
        </w:rPr>
        <w:t>, dismissed the appeal from that decision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dealing with vicarious liability, Gray J. stated in Minto: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this aspect of the law, I am obliged to counsel for the defendants Minto and Greenberg. I can put it best by quoting from their memorandum of law on this aspect: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an employer is generally liable for the actions of his employee, this is only so if the employee who committed the act was acting within the scope of his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show that the relation of employer and employee existed between the actual tortfeasor and the person sought to be made liable, or even that the act in the doing of which the third person was injured was done on the employer's behalf. The act must be shown to have been performed while the employee was acting within the course of his employment, that is while the employee was engaged on his employer's business and was performing either duties falling within the scope of this authority which he was employed to perform or functions which were at least incidental to his employment. Unless this is established, any action against the employer will fail."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Halsbury's Laws of England Volume 16, p. 512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defendant Halliday's wrongful act was an independent act, not within the scope of his employment and in these circumstances Minto cannot be held vicariously liable for Halliday's act of August 12, 1982. Halliday is, of course, liable in tort for the assault. (at p. 541)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I am satisfied that the relationship between Mr. Miki and Dr. Miki and Inc. is sufficiently close to make a claim for vicarious liability possible, I find that Dr. Miki and Inc. are not vicariously liable for the actions of Mr. Miki. I have concluded that the torts of Mr. Miki could not have been foreseen even as a possibility. I also find that the torts were not sufficiently connected to the work being undertaken by Mr. Miki so that the actions of Mr. Miki could be regarded as a materialization of the risks associated with the work being undertaken in the S. household. I find that the unacceptable actions and behaviour of Mr. Miki were independent acts not within the scope of his employment and I cannot conclude that the torts of Mr. Miki are sufficiently connected to the tasks which were assigned to Mr. Miki by Dr. Miki and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this regard, the decision reached by the Supreme Court of Canada in K.L.B. v. British Columbia, </w:t>
      </w:r>
      <w:hyperlink r:id="rId514"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xml:space="preserve"> is applicable. McLachlin C.J., on behalf of the Court, dealt with the abuse of children by foster parents and the question of whether the Government should be vicariously liable for what had been done by the foster parents on the basis that the Government had failed to put in place proper placement and supervision procedures as was required under the Protection of Children Act, R.S.B.C. 1960, c. 303. In this regard, McLachlin C.J.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make out a successful claim for vicarious liability, plaintiffs must demonstrate at least two things. First, they must show that the relationship between the tortfeasor and the person against whom liability is sought is sufficiently close as to make a claim for vicarious liability appropriate . . . . Second, plaintiffs must demonstrate that the tort is sufficiently connected to the tortfeasor's assigned tasks that the tort can be regarded as a materialization of the risks created by the enterprise. This was the issue in Bazley [Bazley v. Curry, </w:t>
      </w:r>
      <w:hyperlink r:id="rId515"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 . . which concerned whether sexual assaults on children by employees of a residential care institution were sufficiently closely connected to the enterprise to justify imposing vicarious liability. These two issues are of course related. A tort will only be sufficiently connected to an enterprise to constitute a materialization of the risks introduced by it if the tortfeasor is sufficiently closely related to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Bazley, supra, the Supreme Court established the test for an employer's vicarious liability for the intentional acts of its employees as follows: (a) the Court must first determine if the acts of the employee were authorized by the employer; and (b) a wrong that is only coincidentally linked to the activity of the employer and the duties of the employee cannot justify the imposition of vicarious liability on the employer. In this regard, McLachlin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further analysis, however, this apparently negative policy consideration of when liability would be appropriate is revealed as nothing more than the absence of the twin policies of fair compensation and deterrence that justify vicarious liability. A wrong that is only coincidentally linked to the activity of the employer and duties of the employee cannot justify the imposition of vicarious liability on the employer. To impose vicarious liability on the employer for such a wrong does not respond to common sense notions of fairness. Nor does it serve to deter future harms. Because the wrong is essentially independent of the employment situation, there is little the employer could have done to prevent it. Where vicarious liability is not closely and materially related to a risk introduced or enhanced by the employer, it serves no deterrent purpose, and relegates the employer to the status of an involuntary insurer. I conclude that a meaningful articulation of when vicarious liability should follow in new situations ought to be animated by the twin policy goals of fair compensation and deterrence that underlie the doctrine, rather than by artificial or semantic distinctions. (at p. 556)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the torts of Mr. Miki were only coincidentally linked to the activity of Dr. Miki and Inc., that the torts were independent of the employment situation, and that there was nothing that Dr. Miki or Inc. could have done to prevent the torts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Kenneth K. Miki and Dr. K. Miki Inc. will be entitled to an Order pursuant to Rule 18A of the Rules of Court dismissing the action of Ms. P.S. against them. I make no findings of fact regarding the liability of Ronald Hisashi Miki to the Ms. P.S. arising out of the matters alleged by her in her Statement of Claim. Dr. Miki and Inc. will be entitled to one set of costs on a Party and Party (Scale 3) basis. The parties will be at liberty to apply pursuant to Rule 57(18) of the Rules of Court with regard to the costs awarded. I will be seized of any such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Roe McNeill &amp; Co. v. McNeill, [2011] B.C.J. No. 1623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25-27,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S075126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1623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1156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C.B.R. (5th) 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2277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Roe McNeill &amp; Company, Plaintiff, and Robert Davis McNeill, Christine McNeill,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9" w:name="Keywords_26"/>
      <w:bookmarkEnd w:id="169"/>
      <w:r>
        <w:rPr>
          <w:rFonts w:ascii="arial" w:eastAsia="arial" w:hAnsi="arial" w:cs="arial"/>
          <w:b/>
          <w:color w:val="000000"/>
          <w:sz w:val="20"/>
          <w:lang w:val="en-US" w:eastAsia="en-US" w:bidi="ar-SA"/>
        </w:rPr>
        <w:t xml:space="preserve">Bankruptcy and insolvency law — Property of bankrupt — Rights of civil action — Motion by plaintiff for summary judgment regarding entitlement to settlement funds allowed — Plaintiff successfully sued former employee for breach of restrictive covenant — Employee sued law firm who provided opinion regarding covenant — Claim was assigned to wife during bankruptcy — Post-discharge,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was settled — Counsel for employee wrote trustee suggesting $20,000 was allocable to estate per division between pecuniary and non-pecuniary damages — Trustee reached binding agreement and was entitled to do so as per s. 41(10) of Bankruptcy and Insolvency Act — Bankruptcy and Insolvency Act, s. 41(10).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0" w:name="Case Summary_24"/>
            <w:bookmarkEnd w:id="1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Roe McNeill &amp; Company, for summary judgment determining entitlement to settlement funds. In 1988, McNeill sold his accounting practice, Roe McNeill &amp; Company (the "Company"). A restrictive covenant prohibited provision of services to persons in Vancouver, Burnaby, North Vancouver and West Vancouver. In 1991, McNeill asked the law firm Boughton &amp; Company whether it would be a breach of the covenant if solicitation of clients in the restricted area occurred from Gabriola Island, with the resulting work performed from Gabriola Island. The firm provided the opinion sought by McNeill. In 1991, the Company sued McNeill for breach of contract and breach of fiduciary duty based on the utmost good faith obligation in the covenant. The judge ordered McNeill to pay the Company $394,000 in damages plus costs and interest. In 1994, McNeill made a voluntary assignment in bankruptcy. The Company was the primary creditor. In 1996, the Company was granted an order permitting it to proceed with an action against McNeill based on fraudulent preferences and conveyances in favour of his wife and other family members. In 1997, McNeill claimed against Boughton for negligent advice in respect of the restrictive covenant. The claim was assigned to his wife with the agreement of the trustee in bankruptcy. The Company and McNeill settled their claims for $250,000 to facilitate McNeill's discharge.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assigned back to McNeill following his discharge from bankruptcy in 1998. In 2005,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settled for $330,000. The settlement was accepted based on an alleged agreement between McNeill's counsel and the trustee in bankruptcy as to the allocation of $20,000 of the settlement to the estate as between pecuniary and non-pecuniary damages. The predicate motion addressed allocation of the funds and the validity of the agreement.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1" w:name="Holdings of Court_19"/>
            <w:bookmarkEnd w:id="171"/>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trustee did not accept counsel's allocation as subject to court approval. The trustee reached a binding settlement. Under s. 41(10) of the Bankruptcy and Insolvency Act, a trustee could accept a compromise of a claim post-discharge. It would have been unreasonable to delay discharge pending outcome of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Allocation of the settlement between the pecuniary and non-pecuniary claims was to occur as per the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2" w:name="Legislation Cited_11"/>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1"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523" w:history="1">
        <w:r>
          <w:rPr>
            <w:rFonts w:ascii="arial" w:eastAsia="arial" w:hAnsi="arial" w:cs="arial"/>
            <w:i/>
            <w:color w:val="0077CC"/>
            <w:sz w:val="20"/>
            <w:u w:val="single"/>
            <w:shd w:val="clear" w:color="auto" w:fill="FFFFFF"/>
            <w:lang w:val="en-US" w:eastAsia="en-US" w:bidi="ar-SA"/>
          </w:rPr>
          <w:t>R.S.C. 1985, c. B-3, s. 41</w:t>
        </w:r>
      </w:hyperlink>
      <w:r>
        <w:rPr>
          <w:rFonts w:ascii="arial" w:eastAsia="arial" w:hAnsi="arial" w:cs="arial"/>
          <w:color w:val="000000"/>
          <w:sz w:val="20"/>
          <w:lang w:val="en-US" w:eastAsia="en-US" w:bidi="ar-SA"/>
        </w:rPr>
        <w:t>(10)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3" w:name="Counsel_26"/>
      <w:bookmarkEnd w:id="1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2"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Douglas C. Morley.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John Grieve, Kibben M. Jackson.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6"/>
      <w:bookmarkEnd w:id="174"/>
      <w:r>
        <w:pict>
          <v:line id="_x0000_s1153"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E.M. MYERS J._0"/>
            <w:bookmarkEnd w:id="175"/>
            <w:r>
              <w:rPr>
                <w:rFonts w:ascii="arial" w:eastAsia="arial" w:hAnsi="arial" w:cs="arial"/>
                <w:b/>
                <w:color w:val="000000"/>
                <w:sz w:val="30"/>
                <w:lang w:val="en-US" w:eastAsia="en-US" w:bidi="ar-SA"/>
              </w:rPr>
              <w:t>E.M. MYERS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[PARA1] This summary judgment motion, brought by the plaintiff, seeks a determination of entitlement to funds paid in settlement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which had been brought by Mr. McNeill against a law firm, Boughton &amp; Co. The settlement took place in the context of Mr. McNeill's prior bankruptcy, during which the claim was assigned to his wife, Mrs. McNeill. The principal and threshold issues are the construction of an alleged agreement between the defendants and the trustee in bankruptcy with respect to the disposition of the settlement funds and the residual authority of the trustee to make the agreement after he had been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1988 Mr. McNeill sold his accounting practice to Roe &amp; Company which changed its name to Roe McNeill &amp; Company. (There were further name changes after that but for the sake of simplicity I will use this designation.) The sale agreement contained a five-year restrictive covenant prohibiting Mr. McNeill from providing accounting services to persons in Vancouver, Burnaby, North Vancouver and West Vancouver. The agreement also required Mr. McNeill to work for Roe McNeill &amp; Company for three years and obliged Mr. McNeill to use "utmost good faith" to introduce his clients to Roe McNeill and to promote a "smooth and uninterrupted transition" of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McNeill moved to Gabriola Island after he sold his accounting practice. In 1991, Mr. McNeill asked the law firm Boughton &amp; Co. whether it would be a breach of the restrictive covenant for him to solicit clients in the restricted area, if the solicitation was done from Gabriola Island and the resulting work done on Gabriola. Mr. McNeill said that he was given an opinion that this would not breach the restrictive covenant. Boughton &amp; Co. was not asked to provide an opinion with respect to the utmost good faith clause. Mr. McNeill did solicit clients in the restricted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1991, Roe McNeill &amp; Company commenced a legal action against Mr. McNeill and his management company for breach of contract and breach of fiduciary duty. The breach of fiduciary duty claim was based on the "utmost good faith"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action was tried by Madam Justice Boyd. On May 30, 1994 she found Mr. McNeill liable for breach of contract but not for breach of fiduciary duty. She assessed damages at $394,000 and awarded costs and interest against Mr. McNeill.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29, 1994 Mr. McNeill made a voluntary assignment in bankruptcy and appointed Barnes &amp; Kissack Inc. as trustee. Paul Kissack was initially responsible for the file was subsequently replaced by Steven Barnes. The principal creditor of the bankruptcy was Roe McNeill &amp; Company. Donald Henfrey was appointed an inspector at the first meeting of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bankruptcy, Roe McNeill &amp; Company asserted claims of fraudulent preference and fraudulent conveyance against Mrs. McNeill and other members of the McNeill family. In December 1996, Master Bolton made an order authorizing Roe McNeill to prosecute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McNeill wanted to claim against Boughton &amp; Co. for providing negligent advice with respect to the restrictive covenant. The claim was to be for pecuniary loss (recovery of the damages and legal costs which Mr. McNeill was ordered to pay Roe McNeill) and non-pecuniary damages for loss of reputation. The trustee, the inspector and the McNeills agreed to the assignment of the right of action to Mrs. McNeill. It is this agreement which is at the heart of the current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agree that the terms of the assignment agreement are contained in an August 8, 1998 resolution of the inspector: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 IT RESOLVED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 accept the offer by Robert and Christine McNeill more particularly described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Christine McNeill offer (sic) "to purchase from the estate any and all claims the estate may have against [Boughton] or any partners or partners thereof as a result of advice given by [Boughton] to Robert McNeill and to his company Lions Gate Management Ltd. (collectively the "Rights of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rights of action will be transferred to Christine McNeill and the purchase price for the Rights of Action will be 45 per cent of the net recovery (net of all legal fees and disbursements taxes and the like actually incurred in pursuing this action) recovered either by way of judgment or settlement of the Rights of Action. For the sake of clarity, we note that the rights of action will not include any personal rights which Mr. McNeill is able to pursue now on his own behalf. These would include rights for damages for a loss of reputation and any non-pecuniary damages recovered.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Finally, the assignment will be an absolute assignment authorizing Mr. McNeill to commence the action in his own name although the proceeds of the action will belong to Mrs. McNeill.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reason for the separate treatment of the pecuniary and non-pecuniary claims was that non-pecuniary claims remain the property of a bankrupt and can be enforced directly by him for his own benefit. The pecuniary claims become property of the bankrupt's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29, 1997 a legal action was started against Boughton &amp; Co. in the name of Mr. McNeill.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McNeill appealed Boyd J.'s decision. In February 1998, the Court of Appeal upheld Boyd J.'s decision on the breach of contract issue and her damage assessment. They disagreed with her conclusion on breach of fiduciary duty and found that Mr. McNeill was also liable for that. However, they concluded that the damages for breach of fiduciary duty overlapped completely with the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July 30, 1998 Mr. McNeill was discharged from bankruptcy. On August 1, 1998, with the consent of the trustee, Mrs. McNeill assigned her rights and obligations under the assignment agreement to Mr. McNeill.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28, 1998 Roe McNeill &amp; Company and the McNeills agreed to settle Roe McNeill's claims against the McNeills, with the aim of Mr. McNeill being discharged from bankruptcy. Roe McNeill received $250,000. In return Roe McNeill provided a release of Mrs. McNeill and other McNeill family members, other than Mr. McNeill, and agreed to forebear from executing any judgments against Mr. McNeill. Following the completion of the settlement Mr. McNeill successfully applied for discharge from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January 15, 1999 the trustee was discharged. The materials filed in support of its application for discharge did not refer to the assignment of the claim against Boughton &amp;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June 1, 1999 the insolvency practice of Barnes &amp; Kissack Inc. merged with MacKay &amp; Company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mediation in January 2005, Boughton &amp; Co. offered to settle the claim against for it for $330,000. Before accepting the offer, Mr. McNeill's counsel, John Grieve, wanted to reach an agreement with the trustee as to what would be paid from the settlement; in other words, an agreement as to the allocation of the settlement between pecuniary and non-pecuniary damages. Consequently, on January 18, 2005, Mr. Grieve wrote to MacKay &amp; Company advising of the settlement offer, taking the position that all of it was in relation to non-pecuniary damages "because, it is very hard for [McNeill] to prove loss of income." Mr. Grieve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 is correct the estate gets nothing, and frankly, it is clear that the estate was expecting nothing. However, I agree that there is an argument that if the estate pushed a court might interfere with the breakdown we've agreed to. On this basis I think I can talk [McNeill] into paying the estate $20,000 for a release. Frankly, if [McNeill] doesn't get enough out of this settlement, he will roll the dice. If that occurs there is a significant chance that the estate will get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24, 2005 Mr. Barnes - now with MacKay &amp; Company - emailed Mr. Grieve, advising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the Inspector and CRA agree so we will be accepting the $20,000 offer. I'm just waiting for the OSB to pull documents from archives.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Barnes incorrectly assumed that the CRA had to approve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Grieve deposed that on the basis of Mr. Barnes' and the inspector's acceptance of his proposal, he in turn accepted Boughton &amp; Co.'s settlement offer. In the letter to Boughton's counsel accepting the offer, Mr. Grieve's associate confirmed that $20,000 was allocated to income loss and the balance to "loss of reputation and pain and suffering, a component of which is called, in some of the cases, inconvenience, discomfort and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the settlements were reached, all concerned had forgotten that the trustee had been discharged. After realising this, Mr. Barnes prepared an application for McKay &amp; Company to be appointed as trustee in order to complete the administration of the bankrupt estate and for an order approving the settlement with respect to the Boughton litigation. The application was not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principal submission is that the McNeills were obligated to effect a reasonable allocation of the settlement proceeds between the pecuniary and non-pecuniary claims which would be $300,000 for the pecuniary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rely on their agreement with trustee for the payment of $20,000. While the defendants recognise that the trustee had been discharged at the time the agreement was made, they say that McKay &amp; Company had the ability to effect the settlement pursuant to s. 41(10)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which provides that:</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his discharge, the trustee remains the trustee of the estate for the performance of such duties as may be incidental to the full administration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They further say that the $20,000 allocation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reply, the plaintiff says that no binding settlement was reached with respect to the proceeds from the Boughton action because: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Boughton matter was too consequential to be "incidental to the full administration of the estate".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Barnes accepted the offer subject to court approval and no such approval was obtained. Approval should not be granted by the court now because the allocation between pecuniary and non-pecuniary damages is unreasonable.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MacKay &amp; Company had never become the trustee and only Barnes &amp; Kissack Inc. had the residual authority to approve the settlement under s. 41(10).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several other issues, but with the exception of the actual allocation, the ones I have stated above are threshold ones. In view of my conclusion it is not necessary for me to deal with the remaining issues, and the facts I have set out focus on the threshold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do not agree that the trustee accepted Mr. Grieve's offer subject to court approval. The wording of the email response from Mr. McKay, quoted above at para. 17, and Mr. Grieve's evidence are clear. Reference to court approval came later and was an after-thought.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With respect to s. 41(10)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counsel have been able to find only three cases of any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 Sindaco</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2003 BCSC 1396</w:t>
        </w:r>
      </w:hyperlink>
      <w:r>
        <w:rPr>
          <w:rFonts w:ascii="arial" w:eastAsia="arial" w:hAnsi="arial" w:cs="arial"/>
          <w:color w:val="000000"/>
          <w:sz w:val="20"/>
          <w:lang w:val="en-US" w:eastAsia="en-US" w:bidi="ar-SA"/>
        </w:rPr>
        <w:t>, Master Patterson, after referring to the dictionary meaning of "incidental", said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view that the legislation contemplates the Trustee being able to complete minor matters and tie up loose ends pursuant to s. 41(10)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Grimanis v. Harris &amp; Partners Inc.</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2009 CanLII 10673</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[2009] O.J. No. 1038</w:t>
        </w:r>
      </w:hyperlink>
      <w:r>
        <w:rPr>
          <w:rFonts w:ascii="arial" w:eastAsia="arial" w:hAnsi="arial" w:cs="arial"/>
          <w:color w:val="000000"/>
          <w:sz w:val="20"/>
          <w:lang w:val="en-US" w:eastAsia="en-US" w:bidi="ar-SA"/>
        </w:rPr>
        <w:t xml:space="preserve"> (Ont. S.C.) the trustee tried to compromise a $15,000 punitive damage claim by selling it to the defendant for $1,500. Mr. Justice Morawetz held that the trustee had no interest in the law suit because it arose post discharge; however, at para. 33 he went on to say,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all relevant times the Trustee was performing duties that were incidental to the administration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Shelson v. Gowling Lafleur Henderson LLP</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(2004), 70 O.R. (3d) 171</w:t>
        </w:r>
      </w:hyperlink>
      <w:r>
        <w:rPr>
          <w:rFonts w:ascii="arial" w:eastAsia="arial" w:hAnsi="arial" w:cs="arial"/>
          <w:color w:val="000000"/>
          <w:sz w:val="20"/>
          <w:lang w:val="en-US" w:eastAsia="en-US" w:bidi="ar-SA"/>
        </w:rPr>
        <w:t>, the Ontario Court of Appeal recognised that s. 41(10) could be used by a discharged trustee to realise on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Following on the </w:t>
      </w:r>
      <w:r>
        <w:rPr>
          <w:rFonts w:ascii="arial" w:eastAsia="arial" w:hAnsi="arial" w:cs="arial"/>
          <w:i/>
          <w:color w:val="000000"/>
          <w:sz w:val="20"/>
          <w:lang w:val="en-US" w:eastAsia="en-US" w:bidi="ar-SA"/>
        </w:rPr>
        <w:t>Shelson</w:t>
      </w:r>
      <w:r>
        <w:rPr>
          <w:rFonts w:ascii="arial" w:eastAsia="arial" w:hAnsi="arial" w:cs="arial"/>
          <w:color w:val="000000"/>
          <w:sz w:val="20"/>
          <w:lang w:val="en-US" w:eastAsia="en-US" w:bidi="ar-SA"/>
        </w:rPr>
        <w:t xml:space="preserve"> case it appears to me that if a trustee can realise on assets after his discharge, he can equally accept a compromise of a claim after his discharge. In the circumstances of this case, it would be unreasonable to expect the trustee to have delayed his discharge pending the outcome of the Boughton action. If the action were not settled it might have taken several more years to be tried and a possible appeal heard. I also do not think the statute contemplates the necessity of a trustee being appointed for a decision of this nature. I conclude that the decision is within the scope of s. 41(10).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turn now to the issue relating to the merger between Barnes &amp; Kissack Inc. and MacKay &amp; Company. The plaintiff argues that only Barnes &amp; Kissack Inc., as the original and only trustee, had residual authority under s. 41(10).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does not contest the fact that the </w:t>
      </w:r>
      <w:r>
        <w:rPr>
          <w:rFonts w:ascii="arial" w:eastAsia="arial" w:hAnsi="arial" w:cs="arial"/>
          <w:i/>
          <w:color w:val="000000"/>
          <w:sz w:val="20"/>
          <w:lang w:val="en-US" w:eastAsia="en-US" w:bidi="ar-SA"/>
        </w:rPr>
        <w:t>practices</w:t>
      </w:r>
      <w:r>
        <w:rPr>
          <w:rFonts w:ascii="arial" w:eastAsia="arial" w:hAnsi="arial" w:cs="arial"/>
          <w:color w:val="000000"/>
          <w:sz w:val="20"/>
          <w:lang w:val="en-US" w:eastAsia="en-US" w:bidi="ar-SA"/>
        </w:rPr>
        <w:t xml:space="preserve"> of the two firms were merged. However it places great reliance on the fact that Barnes &amp; Kissack Inc. remained a corporate entity after the merger, under a different name. Without articulating any legal argument or citing any authority, statutory or otherwise, as to the licensing of trustees, the plaintiff's argument appears to be premised on the fact that only a true corporate merger could accomplish the transfer of the trusteeship. In the absence of authority I do not accept that argument, because the corporate structure of the firms appears to me to be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to be noted that Mr. McKay remained a licensed trustee throughout and maintained carriage of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therefore conclude that the trustee reached a binding settlement and was entitled to do so under s. 41(10).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Having reached that conclusion there is no need for me to address the other issues. However I will say that the determination of the allocation of the settlement between the pecuniary and non-pecuniary claims would not suitable for a summary trial, in spite of the parties having agreed otherwise. To determine that issue would require evidence of Mr. McNeill's claim in some detail. That evidence was not adduced. Virtually the only evidence put before me - and the main basis for the plaintiff challenging the allocation reached in the settlement - was the position taken by Mr. McNeill in the mediation with Boughton &amp; Co. That is hardly a basis upon which I could make a proper determination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action is therefore dismissed with costs. The defendants have asked for special costs, but I do not think the plaintiff's conduct rises to the level where that is merited.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Ross v. Vernon (City), [2009] B.C.J. No. 2001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24 and 25,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8,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42681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Vernon</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2001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1378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 B.C.L.R. (5th) 193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66 M.P.L.R. (4th) 133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2680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181 A.C.W.S. (3d) 615</w:t>
      </w:r>
    </w:p>
    <w:p>
      <w:pPr>
        <w:spacing w:before="120" w:line="260" w:lineRule="atLeast"/>
        <w:rPr>
          <w:lang w:val="en-US" w:eastAsia="en-US" w:bidi="ar-SA"/>
        </w:rPr>
      </w:pPr>
      <w:r>
        <w:rPr>
          <w:rFonts w:ascii="arial" w:eastAsia="arial" w:hAnsi="arial" w:cs="arial"/>
          <w:color w:val="000000"/>
          <w:sz w:val="20"/>
          <w:lang w:val="en-US" w:eastAsia="en-US" w:bidi="ar-SA"/>
        </w:rPr>
        <w:t>Between Joyce Ross, Plaintiff, and The City of Vernon also known as The Corporation of the City of Vernon and Blue Ridge Landscaping &amp; Maintenance Ltd., Defendants, and Blue Ridge Landscaping &amp; Maintenance Ltd., Third Party, and The City of Vernon, also known as The Corporation of the City of Vernon,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5"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6" w:name="Keywords_27"/>
      <w:bookmarkEnd w:id="176"/>
      <w:r>
        <w:rPr>
          <w:rFonts w:ascii="arial" w:eastAsia="arial" w:hAnsi="arial" w:cs="arial"/>
          <w:b/>
          <w:color w:val="000000"/>
          <w:sz w:val="20"/>
          <w:lang w:val="en-US" w:eastAsia="en-US" w:bidi="ar-SA"/>
        </w:rPr>
        <w:t xml:space="preserve">Municipal law — Liability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Types — Property maintenance and operation - Parks - Occupiers' liability — Duty of care — Safety — Inspection — Action by Ross for damages for personal injuries suffered in a slip and fall accident on a walkway in a municipal park dismissed — Plaintiff argued municipality and its maintenance contractor, Blue Ridge, were liable for failing to keep the brick walkway around a duck pond free of bird droppings — Defendants had no duty to ensure that every bird dropping would be cleaned as it hit the pathway — City took reasonable care to clean pathway — No duty to warn plaintiff that path might, from time to time, be slippery due to presence of duck droppings.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Tort law — Occupiers' liability — Duty of occupier — Knowledge of danger — Duty to warn — Particular situations — Amusement or other public parks — Action by Ross for damages for personal injuries suffered in a slip and fall accident on a walkway in a municipal park dismissed — Plaintiff argued municipality and its maintenance contractor, Blue Ridge, were liable for failing to keep the brick walkway around a duck pond free of bird droppings — Defendants had no duty to ensure that every bird dropping would be cleaned as it hit the pathway — City took reasonable care to clean pathway — No duty to warn plaintiff that path might, from time to time, be slippery due to presence of duck droppings.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7" w:name="Case Summary_25"/>
            <w:bookmarkEnd w:id="17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Ross for damages for personal injuries suffered in a slip and fall accident on a walkway in a municipal park. The plaintiff, 58, argued the municipality and its maintenance contractor, Blue Ridge, were liable for failing to keep the brick walkway around a duck pond safe for public use. The city asserted a third party claim against the contractor for indemnity for its cost of defending the claim and based on a specific term of the contract between them. The contract with the city required Blue Ridge to remove debris, including animal manure, from the park's grounds on a daily basis. The brick walkway around the duck pond was to be washed with hose water three times per week to remove loose debris and bird excrement from the brick surface. The city supervised Blue Ridge's performance of the contract by having three city employees regularly attend the park. The plaintiff fell on the walkway. She claimed there were bird droppings on the path. The plaintiff alleged the path was not cleaned on the day in question and that the city should have posted signs warning folks of the risk of bird droppings on the walkway, or that it ought to have placed barricades to prevent people from using soiled paths. </w:t>
            </w:r>
            <w:r>
              <w:rPr>
                <w:lang w:val="en-US" w:eastAsia="en-US" w:bidi="ar-SA"/>
              </w:rPr>
              <w:cr/>
            </w:r>
          </w:p>
          <w:p>
            <w:pPr>
              <w:spacing w:before="120" w:line="260" w:lineRule="atLeast"/>
              <w:ind w:left="240"/>
              <w:jc w:val="both"/>
              <w:rPr>
                <w:lang w:val="en-US" w:eastAsia="en-US" w:bidi="ar-SA"/>
              </w:rPr>
            </w:pPr>
            <w:bookmarkStart w:id="178" w:name="Holdings of Court_20"/>
            <w:bookmarkEnd w:id="178"/>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City's third party claim allowed. Although the court accepted that the plaintiff fell as a result of stepping on some bird droppings, the court accepted the evidence of Blue Ridge that the path had been cleaned in the morning prior to the accident. The defendants had no duty to ensure that every bird dropping would be cleaned as it hit the pathway. The city was under no duty to warn the plaintiff that the path might, from time to time, be slippery due to the presence of duck droppings. The slippery nature of droppings left by wild birds in a public park came within that same category of ordinary risk about which every adult and non-disabled person must be taken to be aware. Washing the walkway half an hour before the plaintiff fell satisfied the defendants' duty of care to the plaintiff. The city's third party notice seeking indemnity for its defense costs arose directly out of the terms of the contract to which Blue Ridge agreed. At least 90 per cent of the city's cost of defense was taken up by dealing with the plaintiff's complaints about Blue Ridge's performance of the maintenance contract. The city was entitled to a declaration that Blue Ridge was liable to indemnify it for 90 per cent of its costs of defending the plaintiff's action. </w:t>
            </w:r>
            <w:r>
              <w:rPr>
                <w:lang w:val="en-US" w:eastAsia="en-US" w:bidi="ar-SA"/>
              </w:rPr>
              <w:cr/>
            </w:r>
          </w:p>
          <w:p>
            <w:pPr>
              <w:rPr>
                <w:lang w:val="en-US" w:eastAsia="en-US" w:bidi="ar-SA"/>
              </w:rPr>
            </w:pPr>
          </w:p>
        </w:tc>
      </w:tr>
    </w:tbl>
    <w:p>
      <w:pPr>
        <w:jc w:val="both"/>
        <w:rPr>
          <w:lang w:val="en-US" w:eastAsia="en-US" w:bidi="ar-SA"/>
        </w:rPr>
      </w:pPr>
      <w:bookmarkStart w:id="179" w:name="Legislation Cited_12"/>
      <w:bookmarkEnd w:id="17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6"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180" w:name="Counsel_27"/>
      <w:bookmarkEnd w:id="18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7" style="position:absolute;z-index:2517893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J.D. Cotter.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City of Vernon: L.E.W. Nilsson.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Blue Ridge Landscaping: C.R. Thomson.</w:t>
      </w:r>
      <w:r>
        <w:rPr>
          <w:lang w:val="en-US" w:eastAsia="en-US" w:bidi="ar-SA"/>
        </w:rPr>
        <w:cr/>
      </w:r>
    </w:p>
    <w:p>
      <w:pPr>
        <w:spacing w:after="240"/>
        <w:rPr>
          <w:lang w:val="en-US" w:eastAsia="en-US" w:bidi="ar-SA"/>
        </w:rPr>
      </w:pPr>
      <w:bookmarkStart w:id="181" w:name="Judgment_27"/>
      <w:bookmarkEnd w:id="181"/>
      <w:r>
        <w:pict>
          <v:line id="_x0000_s1158" style="position:absolute;z-index:25184051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2" w:name="P. ROGERS J."/>
            <w:bookmarkEnd w:id="182"/>
            <w:r>
              <w:rPr>
                <w:rFonts w:ascii="arial" w:eastAsia="arial" w:hAnsi="arial" w:cs="arial"/>
                <w:b/>
                <w:color w:val="000000"/>
                <w:sz w:val="30"/>
                <w:lang w:val="en-US" w:eastAsia="en-US" w:bidi="ar-SA"/>
              </w:rPr>
              <w:t>P. ROGERS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August 10, 2006, the plaintiff slipped, fell and was injured on a walkway in a municipal park. She asserts that the municipality and its maintenance contractor are liable for failing to keep the walkway safe for public use. The plaintiff relies on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both assert that the park was reasonably inspected and maintained. They say that the plaintiff was the author of her own misfortune by not keeping a proper lookout for her own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between themselves, the defendants allege that if there is liability to the plaintiff, it lies with each other. The city asserts a separate claim against the contractor for indemnity for its cost of defending the claim, and bases that claim on a specific term of the contract between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park in issue is called Polson Park. It is in downtown Vernon. It is one of, if not the, largest parks in Vernon. The park contains, among other things, a playground, a skateboard bowl, grass, gardens and a fountain in a large pool of water. The pool of water is commonly known as either the "lagoon" or the "duck pond". A walkway encircles the pond. The walkway crosses the pond's northern end by a bridge. On the pond's eastern shore, where the incident at issue here took place, the walkway comprises bricks set between two curbs that are flush with the ground. There, the walkway parallels a grassed strip at the water's edge. Wild ducks and geese inhabit the pond and its shores. The pond has been a feature of Vernon's parkland for at least several decades.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 years ago, the city of Vernon decided to not employ people or purchase the equipment necessary to maintain the 60 or 70 parks within its boundary. The city decided instead to tender a contract for maintenance of its parkland. The city followed an open and diligent tender process. Blue Ridge submitted a bid in response to the tender. The city assessed Blue Ridge's capacity to perform the work and its reputation for reliability. Eventually, the city accepted Blue Ridge's bid, and the two parties made a contract. That contract comprised a relatively short document together with the tender itself. The contract began in 2005 and ran through 2006 and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Among other obligations, the contract required Blue Ridge to remove debris, including animal manure, from the park's grounds on a daily basis. Pursuant to the contract, the city stipulated that the brick walkway around the duck pond should be washed with hose water on Tuesdays, Thursdays and Saturdays. The purpose of washing the walkway was to remove loose debris and bird excrement from the brick surface.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city supervised Blue Ridge's performance of the contract. Three city employees regularly attended the park. They were the city's head gardener, Mr. Taylor; its parks superintendent, Mr. Haverty; and its manager of public works, Mr. Rice. Each of these individuals were empowered to report any deficiencies in Blue Ridge's operations at the park. Blue Ridge itself employed a foreman, Mr. Sorenson, to oversee the park. The park maintenance contract stipulated that Blue Ridge have a person on the park grounds eight hours per day, seven days per week, between April 1st and October 31st. Blue Ridge hired Mr. Carboni to work at the park between 7:30 a.m. and 4 p.m. on weekdays, and another person to work the same hours on weekends.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Carboni was on duty at the park on the day when the plaintiff had her slip and fall. That day was August 10, 2006. It was a Thursday. Mr. Carboni started his day by opening the traffic gates at the park's entrances. He then checked the washrooms and the park's other facilities for damage or vandalism. He used a rake to remove debris from the sand at the playground. He testified that, as per his usual routine and as required by the city, he used water from a pressure nozzle on a hose to wash the brick walkway around the duck pond. He testified that he also used a squeegee to remove any stubborn bits off the brick.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only one area of the walkway that Mr. Carboni did not wash that day. That area lay at the perimeter of a clump of trees and shrubs lying between the pond and the walkway and located near the south end of the pond. He did not wash there because that area was already under water. Water had gathered there from a leak in an underground irrigation pipe. Mr. Carboni washed the walkway up to the northern and southern points where water had pooled on the 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Carboni finished washing the walkway sometime around 10:30 or 10:45 a.m. Roughly half an hour later, the plaintiff began to walk along the walkway toward the spot where she would have her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then 58 years old. She was in good health. She did not suffer from any condition that impaired her ability to ambulate safely and independently. The plaintiff arrived at the park with four of her grandchildren sometime between 11 and 11:30 a.m. She spent a little bit of time with them at the playground, and then she and her granddaughter Sara set out to walk around the duck pond. They crossed the bridge at the northern end of the pond and headed south. The plaintiff was not concentrating on watching each step she took. She assumed that the walkway was level and safe to use, so she did not stare at her feet as she moved along. When she first noticed the pooled water on the path, the plaintiff was some distance north of it. She perceived it to be wet and possibly dangerous. She was, at that point, not yet actually in the area that was wet. She called out a warning to her granddaughter who was ahead of her. The warning was something to the effect of "be careful, this is unsafe". Just as those words left her mouth, the plaintiff lost her balance and fell to the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did not describe how she fell. She did not say whether it was her right or her left foot that went out from under her, or whether one or both of her knees had buckled. Neither did the plaintiff describe what parts of her hit the ground. The parties agreed ahead of the trial that, as a result of the fall, the plaintiff suffered a broken right kneecap. I infer from that evidence that, in the course of her fall, the plaintiff somehow suffered a blow to her right knee.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found that she could not get up from the ground. She called her husband to come and get her. He arrived at the scene about 15 minutes later. The plaintiff and her husband testified that there was bird excrement on the sidewalk in the area where the plaintiff fell. No one looked at the bottom of the plaintiff's shoes, so no one could testify whether her shoe had come in contact with that excrement. The plaintiff testified that bird droppings had transferred from the ground onto her leg and the shorts that she was wearing.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Four days later, the plaintiff's husband attended the park and took two photographs of the area. He concentrated on capturing the standing water near the bushes beside the pond. The area where the plaintiff fell is dry and lies in the middle ground of one of those photographs. That picture does not show the area in question in any meaningful detail.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All of the witnesses who testified about ducks and geese in the park acknowledged that they are wild animals and that where and when they chose to relieve themselves can neither be predicted nor controlled.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parties agreed that, if the plaintiff's action succeeded, her injuries merited a global award of $45,000.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says that if the walkway beside the pond had been washed that day, then there would not have been bird droppings on it when she came along. She urges the court to conclude that Mr. Carboni must, therefore, be either lying or mistaken in his evidence. If the walkway was not washed then, according to the plaintiff, the defendants did not take reasonable steps to ensure that the walk was clear of slippery material such as bird droppings.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against the city in particular, the plaintiff argues that it had a duty to post signs warning folks of the risk of bird droppings on the walkway, or that it ought to have placed barricades to prevent people from using soiled paths.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Defendants' Common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city and Blue Ridge both assert that they instituted a reasonable system of inspection and maintenance of the park and its walkway. They say that the walk was washed within an hour of the plaintiff's fall and that it would be unreasonable for them to be held to a higher standard of care than that. The defendants rely on numerous decisions of the courts of this province which establish that the occupier of property is not an insurer of his visitor's wellbeing, but rather that the occupier is obliged to take reasonable steps in the circumstances to provide his visitor a safe environment. They say that the walkway wash routine that was in place on August 20, 2006, constituted a reasonable effort to keep the walkway safe and that, having carried out that routine, the defendants cannot be held liable for the plaintiff's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alternative, the defendants argue that the plaintiff was the author of her own misfortune by failing to watch where she was walking.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City's Position about Warning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city argues that it is not obliged to warn park users against obvious hazards. It says that the duck pond has that name for a reason, and that it would be obvious to any sentient being who passed by that wild birds frequented the area. The city says that no normal person needs to be warned that wild birds may leave droppings anywhere and that those droppings are slippery if stepped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her fall, the plaintiff found that her leg and shorts were smeared with bird droppings. The only mechanism by which droppings could have been transferred onto her leg and clothing was by contact with the ground in the area where she fell. The only sensible inference that one can draw from that is that there were bird droppings on the path where she fell. I accept the plaintiff's evidence that her fall was sudden and unexpected. The plaintiff did not look for droppings on the bottoms of her shoes, but that does not mean that there were no droppings there. In my view, it is more likely than not that the plaintiff lost her balance as a result of stepping on some bird droppings.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two fatal flaws in the plaintiff's argument that the walkway had not been cleaned that morning. The first flaw is that Mr. Carboni was a reliable witness. He was not caught out on inconsistencies in his testimony. His evidence was cogent, consistent and credible. I accept Mr. Carboni's evidence without hesitation. I find that sometime shortly before 11 a.m., Mr. Carboni used water and a squeegee to wash the brick walkway in the area where the plaintiff fell. I find that he did a thorough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flaw in the plaintiff's position is the indisputable fact that ducks and geese empty their bowels wherever and whenever they see fit. While I accept the plaintiff's evidence that there were bird droppings on the walkway when she fell, that fact does not make it more probable than not that Mr. Carboni failed to wash the sidewalk. All it would take for droppings to appear on the sidewalk would be for one or more birds to wander by after Mr. Carboni had finished his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No party suggested that Blue Ridge or the city had a legal duty to follow each of the park's birds with a little scoop and a baggie in hand so as to catch every dropping as it hit the pathway. It would be absurd to suggest that their duty of care went so far as that. The law agrees -- the courts in this province had repeatedly stated that all that is required of the defendants in this situation is to take reasonable, not perfect, care in all the circumstances so as to allow the plaintiff to be safe when using the park. See, for example: </w:t>
      </w:r>
      <w:r>
        <w:rPr>
          <w:rFonts w:ascii="arial" w:eastAsia="arial" w:hAnsi="arial" w:cs="arial"/>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Leweke v. Saanich School District No. 63</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(2005), 46 B.C.L.R. (4th) 257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Duddle v. Vernon (City)</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(2004), 35 B.C.L.R. (4th) 24</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city likewise was under no duty to warn the plaintiff that the path might, from time to time, be slippery due to the presence of duck droppings. As McEachern C.J. said in </w:t>
      </w:r>
      <w:r>
        <w:rPr>
          <w:rFonts w:ascii="arial" w:eastAsia="arial" w:hAnsi="arial" w:cs="arial"/>
          <w:i/>
          <w:color w:val="000000"/>
          <w:sz w:val="20"/>
          <w:lang w:val="en-US" w:eastAsia="en-US" w:bidi="ar-SA"/>
        </w:rPr>
        <w:t>Malcolm</w:t>
      </w:r>
      <w:r>
        <w:rPr>
          <w:rFonts w:ascii="arial" w:eastAsia="arial" w:hAnsi="arial" w:cs="arial"/>
          <w:color w:val="000000"/>
          <w:sz w:val="20"/>
          <w:lang w:val="en-US" w:eastAsia="en-US" w:bidi="ar-SA"/>
        </w:rPr>
        <w:t xml:space="preserve"> v.</w:t>
      </w:r>
      <w:r>
        <w:rPr>
          <w:rFonts w:ascii="arial" w:eastAsia="arial" w:hAnsi="arial" w:cs="arial"/>
          <w:i/>
          <w:color w:val="000000"/>
          <w:sz w:val="20"/>
          <w:lang w:val="en-US" w:eastAsia="en-US" w:bidi="ar-SA"/>
        </w:rPr>
        <w:t xml:space="preserve"> British Columbia Transit</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my respectful view,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everyday life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slippery nature of droppings left by wild birds in a public park such as Vernon's Polson Park come within that same category of ordinary risk about which every adult and non-disabled person must be taken to be aware.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that about half an hour before the plaintiff came along, Mr. Carboni washed the area of the walkway where the plaintiff had her fall. I can make no conclusion other than that washing the walkway half an hour before the plaintiff fell satisfied the defendants' duty of care to the plaintiff. I find that the plaintiff was simply unlucky -- she stepped on some bird droppings and she slipped. No one can be held legally liable for her misfortune.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claims against the defendants must be dismissed. The defendants are entitled to their costs on Scale 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Third Party Notices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Neither the city nor Blue Ridge did or failed to do anything vis-à-vis park maintenance that led to the other being liable to the plaintiff. It follows that their third party notices having to do with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perform a duty of care to the plaintiff are dismissed. The costs of those proceedings offset each other, leaving nothing to be recovered in damages or costs by either defendant against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city's third party notice seeking indemnity for its costs of defending the plaintiff's action is based upon this provision of its contract with Blue Ridge: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Contractor shall save and hold harmless The City of Vernon, The District of Coldstream, The Regional District of North Okanagan, its officers, agents, servants and employees, from and against any and all suits or claims alleging damage or injury (including death) to any person or property that may occur or that may be alleged to have occurred, in the course of the performance of this Contract, whether such claim shall be made by an employee of the Contractor, or by a third person and whether or not it shall be claimed that the alleged damage or injury (including death) was caused through a wilful or negligent act or omission of the Contractor, its officers, servants, agents or employees, or a wilful or negligent act or omission of any of its sub-contractors or any of their officers, servants, agents or employees, and at its own expense, the Contractor shall defend any and all such actions and pay all legal charges, costs and other expenses arising therefrom.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Blue Ridge asserted that the question of whether it should indemnify the city for the cost of defending the plaintiff's action is the subject matter of a proceeding that is underway between its insurer and the city's insurer. Blue Ridge maintained that that proceeding is the proper venue to determine whether Blue Ridge must indemnify the city for its legal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Blue Ridge's argument is a red herring. The city's third party notice seeking indemnity for its defense costs arises directly out of the terms of the contract to which Blue Ridge agreed. There is nothing in the provision noted above that requires Blue Ridge to pay the cost of defense out of insurance money. While it is true that the contract goes on to require Blue Ridge to acquire a liability insurance policy and to make the city a named insured under the policy, that insurance provision stands quite apart from the indemnity clause. It seems obvious to me that if, for example, Blue Ridge had failed to obtain third party insurance, the city would nevertheless have been entitled to require Blue Ridge to defend and indemnify the city out of Blue Ridge's own pocket.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 plaintiff's claims against Blue Ridge and the City had primarily to do with alleged deficiencies in Blue Ridge's performance of the maintenance contract. There were peripheral claims, not seriously pursued, that the city failed to, for example, post signs warning park users about bird droppings on the pathway. No time at trial was taken up with those peripheral claims. I find that at least 90 per cent of the city's cost of defense was taken up by dealing with the plaintiff's complaints about Blue Ridge's performance of the maintenance contract. I heard no evidence to suggest that Blue Ridge should be relieved of the obligation to indemnify the city as it agreed to do in the contract. I find, therefore, that the city is entitled to a declaration that Blue Ridge is liable to indemnify it for 90 per cent of its costs of defending the plaintiff's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Of course, this judgment is limited to the cost of counsel retained, instructed and actually paid by the city. Legal and other fees paid by the city's insurer are not recoverable under my ruling and would properly be the subject of the separate petition proceeding between the defendants' insurers.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addition, the city is entitled to its costs on Scale B of its third party notice seeking the declaration if entitlement to indemnity. To prevent double recovery, any costs that the city may collect from the plaintiff will count as a credit against Blue Ridge's obligation to indemnify the city.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 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Shelton-Johnson v. Delta School District No. 37, [2011] B.C.J. No. 2154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L.P. Williamson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31,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15,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S101250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2154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1545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96 B.L.R. (4th) 330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208 A.C.W.S. (3d) 300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CarswellBC 3014</w:t>
      </w:r>
    </w:p>
    <w:p>
      <w:pPr>
        <w:spacing w:before="120" w:line="260" w:lineRule="atLeast"/>
        <w:rPr>
          <w:lang w:val="en-US" w:eastAsia="en-US" w:bidi="ar-SA"/>
        </w:rPr>
      </w:pPr>
      <w:r>
        <w:rPr>
          <w:rFonts w:ascii="arial" w:eastAsia="arial" w:hAnsi="arial" w:cs="arial"/>
          <w:color w:val="000000"/>
          <w:sz w:val="20"/>
          <w:lang w:val="en-US" w:eastAsia="en-US" w:bidi="ar-SA"/>
        </w:rPr>
        <w:t>Between Karen Shelton-Johnson, Plaintiff, and The Board of Education of School District No. 37 (Delta) and Sons of Scotland Benevolent Association, Defendants, and Sons of Scotland Benevolent Association and Intact Insurance Company,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0" style="position:absolute;z-index:2516879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3" w:name="Keywords_28"/>
      <w:bookmarkEnd w:id="183"/>
      <w:r>
        <w:rPr>
          <w:rFonts w:ascii="arial" w:eastAsia="arial" w:hAnsi="arial" w:cs="arial"/>
          <w:b/>
          <w:color w:val="000000"/>
          <w:sz w:val="20"/>
          <w:lang w:val="en-US" w:eastAsia="en-US" w:bidi="ar-SA"/>
        </w:rPr>
        <w:t>Contracts — Terms — Express terms — Incorporation by reference — Application by defendant school board for order that indemnity clause incorporated into contract between school board and defendant association applied with respect to action dismissed — Plaintiff claimed for damages suffered when she tripped at event held by defendant association at building owned by defendant school board — Defendant school board failed to demonstrate that indemnity clause applied clearly to sidewalk outside of school where accident occurred — Not clear that sidewalk outside school constituted premises for purpose of indemnity clause.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Insurance law — The insurance contract — Application — Application by defendant school board for order that indemnity clause incorporated into contract between school board and defendant association applied with respect to action dismissed — Plaintiff claimed for damages suffered when she tripped at event held by defendant association at building owned by defendant school board — Defendant school board failed to demonstrate that indemnity clause applied clearly to sidewalk outside of school where accident occurred — Not clear that sidewalk outside school constituted premises for purpose of indemnity clause.</w:t>
      </w:r>
    </w:p>
    <w:p>
      <w:pPr>
        <w:jc w:val="both"/>
        <w:rPr>
          <w:lang w:val="en-US" w:eastAsia="en-US" w:bidi="ar-SA"/>
        </w:rPr>
      </w:pPr>
      <w:bookmarkStart w:id="184" w:name="Counsel_28"/>
      <w:bookmarkEnd w:id="18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1" style="position:absolute;z-index:2517391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Defendant The Board of Education of School District No. 37 (Delta): J.M. Poole.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and Third Party Sons of Scotland Benevolent Association: J.A. Copeland.</w:t>
      </w:r>
      <w:r>
        <w:rPr>
          <w:lang w:val="en-US" w:eastAsia="en-US" w:bidi="ar-SA"/>
        </w:rPr>
        <w:cr/>
      </w:r>
    </w:p>
    <w:p>
      <w:pPr>
        <w:spacing w:after="240"/>
        <w:rPr>
          <w:lang w:val="en-US" w:eastAsia="en-US" w:bidi="ar-SA"/>
        </w:rPr>
      </w:pPr>
      <w:bookmarkStart w:id="185" w:name="Judgment_28"/>
      <w:bookmarkEnd w:id="185"/>
      <w:r>
        <w:pict>
          <v:line id="_x0000_s1162" style="position:absolute;z-index:25179033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6" w:name="L.P. WILLIAMSON J."/>
            <w:bookmarkEnd w:id="186"/>
            <w:r>
              <w:rPr>
                <w:rFonts w:ascii="arial" w:eastAsia="arial" w:hAnsi="arial" w:cs="arial"/>
                <w:b/>
                <w:color w:val="000000"/>
                <w:sz w:val="30"/>
                <w:lang w:val="en-US" w:eastAsia="en-US" w:bidi="ar-SA"/>
              </w:rPr>
              <w:t>L.P. WILLIAMSON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13, 2009, the defendant Sons of Scotland Benevolent Association ("Sons of Scotland") hosted Highland Games on the property of the South Delta Secondary School in Tsawwassen. During the course of that event, the plaintiff alleges that she tripped upon an irregular projection of concrete on the sidewalk adjacent to a door which provided direct access to the school's cafeteria.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 joint statement of facts, the parties agreed that the officer of the Sons of Scotland who rented the premises from the defendant Board of Education of School District No. 37 (Delta), (the "School Board") knew that in order to gain access to the interior areas of the school that had been rented, volunteers, spectators and participants in the Games would have to make use of the concrete walkway concerned.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application, the School Board seeks an order that an indemnity clause found in a document entitled "Terms and Conditions Governing Use of School Facilities", incorporated into the contact between the School Board and the Sons of Scotland, applies with respect to this action. The Sons of Scotland say it does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disputed clause reads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user agrees to accept the premises at his own risk and to save harmless and keep indemnified the School Board and its respective agents, officials, servants, employees and representatives from and against all claims, actions, costs and expenses and demands in respect to death, injury, loss or damage to any person, or property of any person howsoever cause[d], who use[s] the School facilities as a result of the user entering into this agreement, or who is permitted by the user to use the School facilities, notwithstanding that same may have been contributed to or occasioned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said School Board, its agents, officials servants, employees and representatives.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School Board submits that as the claims in this action are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indemnity clause applies because it states specifically that the Sons of Scotland are to indemnify the School Board for injuries "occasioned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said School Board". Thus, the Board says, a plain reading of this clause leads inexorably to the conclusion that it applies in the present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Sons of Scotland submit that the clause does not apply. They say that the indemnity refers only to those portions of the school which were actually rented. They note that the contract was for the Sons of Scotland to rent two specific rooms, a cafeteria and a classroom. They concede that the contract provided a license for the use of internal areas of the school building including those incidental to the access to those areas, but say it does not apply to external areas.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law in this area is not in dispute. In </w:t>
      </w:r>
      <w:r>
        <w:rPr>
          <w:rFonts w:ascii="arial" w:eastAsia="arial" w:hAnsi="arial" w:cs="arial"/>
          <w:i/>
          <w:color w:val="000000"/>
          <w:sz w:val="20"/>
          <w:lang w:val="en-US" w:eastAsia="en-US" w:bidi="ar-SA"/>
        </w:rPr>
        <w:t>Canada Steamship Lines Ltd v. Regem</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[1952] 2 D.L.R. 786</w:t>
        </w:r>
      </w:hyperlink>
      <w:r>
        <w:rPr>
          <w:rFonts w:ascii="arial" w:eastAsia="arial" w:hAnsi="arial" w:cs="arial"/>
          <w:color w:val="000000"/>
          <w:sz w:val="20"/>
          <w:lang w:val="en-US" w:eastAsia="en-US" w:bidi="ar-SA"/>
        </w:rPr>
        <w:t xml:space="preserve">, the Judicial Committee of the Privy Council ruled that where a party to a contract has been negligent, and seeks to make the innocent party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relevant indemnity clause must be unequivocally certain. </w:t>
      </w:r>
      <w:r>
        <w:rPr>
          <w:rFonts w:ascii="arial" w:eastAsia="arial" w:hAnsi="arial" w:cs="arial"/>
          <w:i/>
          <w:color w:val="000000"/>
          <w:sz w:val="20"/>
          <w:lang w:val="en-US" w:eastAsia="en-US" w:bidi="ar-SA"/>
        </w:rPr>
        <w:t>Canada Steamship Lines</w:t>
      </w:r>
      <w:r>
        <w:rPr>
          <w:rFonts w:ascii="arial" w:eastAsia="arial" w:hAnsi="arial" w:cs="arial"/>
          <w:color w:val="000000"/>
          <w:sz w:val="20"/>
          <w:lang w:val="en-US" w:eastAsia="en-US" w:bidi="ar-SA"/>
        </w:rPr>
        <w:t xml:space="preserve"> has been considered and followed in many Canadian decisions.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concluded that the School Board has failed to demonstrate that the indemnity clause applies clearly to the sidewalk outside of the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indemnity clause which I have quoted above is in two parts. The first part says that "the user agrees to accept the premises at his own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That statement is followed by the disjunctive "and", which is then followed by the indemnity portion of the clause providing that the Sons of Scotland must indemnify the School Board for any injury or damage to a person who uses the school facilities as a result of the Sons of Scotland entering into the contract to rent a portion of the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Thus we have the word "premises" and the word "facilities". If the sidewalk was a part of the "facilities" which had been rented, the indemnity clause applies. If it was not, the clause does not apply.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document entitled "Terms and Conditions Governing Use of School Facilities" uses the expression "facilities" as well as the expression "premises". It says that all persons using part of the school property: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are required to enter into a rental/lease agreement for the use of any facility. All activities must be confined to the parts of the buildings stipulated in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Paragraph 8 of the Terms states expressly that the user agrees to accept "the premises at his own risk". But when it shifts to discuss the indemnification of the School Board for any loss or damage, it speaks of loss or damage to any person who "uses the School facilities" as a result of the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word "facility" (or "facilities") surfaces in two other relevant documents. The first is the "School Use Form", a form filled in by those who wish to rent a portion of the school property. In this case, it was completed by an officer of the Sons of Scotland. The document defines "facility" as "cafeteria, washrooms &amp; changing rooms &amp; if possible room with stove to heat meat pies". In other words, "facility" is limited to those areas. Nothing is said about sidewalks outside of the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 the "Rental Contact" by which the School Board accepted the offer of the Sons of Scotland to rent a portion of the school property defines that property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Delta Continuing Education hereby grants Sons of Scotland Highland Games (hereinafter called the "Licensee") represented by Elizabeth Johnston, permission to use the Facilities as outlined, subject to the Terms and Conditions of this Agreement contained herein and attached hereto all of which form part of this Agreement.</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359"/>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256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Facility</w:t>
            </w:r>
          </w:p>
        </w:tc>
        <w:tc>
          <w:tcPr>
            <w:tcW w:w="1331"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Day</w:t>
            </w:r>
          </w:p>
        </w:tc>
        <w:tc>
          <w:tcPr>
            <w:tcW w:w="471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Start Date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256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SD Cafeteria</w:t>
            </w:r>
          </w:p>
        </w:tc>
        <w:tc>
          <w:tcPr>
            <w:tcW w:w="1331"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Sat</w:t>
            </w:r>
          </w:p>
        </w:tc>
        <w:tc>
          <w:tcPr>
            <w:tcW w:w="471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13-Jun-09</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SD Classroom 1</w:t>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Sat</w:t>
            </w:r>
          </w:p>
        </w:tc>
        <w:tc>
          <w:tcPr>
            <w:tcW w:w="471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13-Jun-09</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Again, there is no mention of any other areas of the premises being included.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School Board has submitted that the Sons of Scotland are bound by the indemnity clause for incidents on other areas of the school property because they accepted responsibility for supervising parking, for preventing unauthorized persons from entering the building, and for ensuring that the school "premises" were left in the same order as they had been left by school personnel.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am not persuaded by this submission. These responsibilities concern "premises". The indemnity clause shifts responsibility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School Board to the Sons of Scotland for incidents within the "School facilities". For the reasons I have outlined, I do not find the sidewalk to be within the facilities subject to the indemnity clause.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conclude, therefore, that the Sons of Scotland rented facilities which were limited to a cafeteria, a classroom, and adjacent washrooms and changing rooms. As such, the indemnity agreement does not state clearly that the Sons of Scotland must indemnify the School Board for injuries resulting from the use of a sidewalk outside of the school buildings.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application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L.P. WILLIAMSON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Smith v. Towns, [2005] B.C.J. No. 100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29 - 30, December 1 - 3 and 6 -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Nos. M86618 and S74473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1061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Tina Smith, plaintiff, and Erin Christine Towns, defendant (New Westminster Registry No. M86618) And between Tina Smith, plaintiff, and Michael Patricelli, defendant (New Westminster Registry No. S74473)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9"/>
      <w:bookmarkEnd w:id="187"/>
      <w:r>
        <w:rPr>
          <w:rFonts w:ascii="arial" w:eastAsia="arial" w:hAnsi="arial" w:cs="arial"/>
          <w:b/>
          <w:color w:val="000000"/>
          <w:sz w:val="20"/>
          <w:lang w:val="en-US" w:eastAsia="en-US" w:bidi="ar-SA"/>
        </w:rPr>
        <w:t xml:space="preserve">Damages — General Damages — For personal injury — Non-pecuniary damages, including pain and suffering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6"/>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Smith against Towns for the recovery of damages Smith incurred as the result of a motor vehicle accident. Smith's car had been struck from behind by another vehicle. Thereafter, Smith experienced pain in her neck, arm and back. No neurological abnormalities were apparent. Two years later, Smith was again struck from behind by a motor vehicle, driven by Towns. Her pain symptoms worsened. At issue was whether Smith's pain was due to the two accidents, or to a previous degenerative disorder of the spine. If it were due to the accidents, Smith could expect an eventual full recovery. If however the accidents materially contributed to a process of spinal degeneration, Smith's prognosis would be much worse. Smith was a 35-year-old mother of two who had generally been in good health before the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21"/>
            <w:bookmarkEnd w:id="18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Smith's symptoms were the result of a soft tissue injury, initially caused by the first accident, and then aggravated by the second. The symptoms were not the result of degenerative changes to the cervical spine. The evidence did not establish a substantial possibility that Smith's ability to earn income was affected by her injuries. She was allowed non-pecuniary damages of $25,000.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Counsel_29"/>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Gregory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Towns and the Defendant Patricelli: L. Mackoff and M. Dong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1" w:name="Judgment_29"/>
      <w:bookmarkEnd w:id="191"/>
      <w:r>
        <w:pict>
          <v:line id="_x0000_s1166" style="position:absolute;z-index:2517913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2" w:name="SLADE J."/>
            <w:bookmarkEnd w:id="192"/>
            <w:r>
              <w:rPr>
                <w:rFonts w:ascii="arial" w:eastAsia="arial" w:hAnsi="arial" w:cs="arial"/>
                <w:b/>
                <w:color w:val="000000"/>
                <w:sz w:val="30"/>
                <w:lang w:val="en-US" w:eastAsia="en-US" w:bidi="ar-SA"/>
              </w:rPr>
              <w:t>SLADE J.</w:t>
            </w:r>
          </w:p>
        </w:tc>
      </w:tr>
    </w:tbl>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Smith, was motoring along 104th Street in Surrey on November 13, 2001, when she was struck from behind by another vehicle. She sustained what were believed at the time to be soft tissue injuries. These produced soreness in the neck, right arm, and lower back. She also experienced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Ms Smith's pain persisted over the following eighteen months, she was referred to a neurologist. He found no neurological abnormalities, and concluded that she was suffering with a chronic discomfort condition as a result of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Smith continued to report symptoms to her family physician, who referred her to a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December 28, 2003, before her appointment with the neurosurgeon, Ms Smith's vehicle was, once again, struck from behind by another vehicle. Her pain symptoms, which had diminished somewhat since the first accident,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neurosurgeon's consultation report, dated January 13, 2004, comments on degenerate changes revealed by an x-ray of Ms Smith's cervical spine. However, in his August 25, 2004 medical-legal report, the neurosurgeon attributed her symptoms to strained muscles and ligaments in the cervical and lumbar spine regions (i.e. soft tissue injuries) from the forces applied in the two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November 23, 2004, one week before commencement of the trial, another spinal x-ray was taken. In a further report dated November 29, 2004, the neurosurgeon notes further degenerative changes in the cervical spine. He attributes to the motor vehicle accidents an accelerated progression of a pre-existing, and formerly asymptomatic, degenerative disease of the spine. The November 29, 2004, report attributes her pain symptoms to nerve impingement due to spinal degeneration.</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central issue in this case is whether Ms Smith's ongoing post-accident symptoms, as reported by her, relate to soft tissue injuries suffered in the motor vehicle accidents, or to the acceleration of a previously asymptomatic degenerative disorder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difference is significant. If the motor vehicle accidents resulted in soft tissue injuries only, the evidence suggests that her condition has stabilized with minimal ongoing discomfort and no significant disability or, at best, an eventual full recovery. If, on the other hand, the collisions have materially contributed a process of spinal degeneration, the prognosis for recovery is much worse. In addition, the progression of the disease may necessitate corrective surgery.</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is 35 years of age. She has two children, a son aged 11 and a daughter aged 5. She and her husband separated in October 2003. The children reside primarily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Smith completed grade 12, then attended a community college for one year. She obtained employment at a bank, and was employed as a casual worker at the time of the first motor vehicle accident in November 2001. Her primary activity was that of homemaker. Her 2001 employment income was approximately $3,300.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Smith was interested in training to become a hairdresser, and ultimately to work in the film industry. She had, since 1994, styled hair for female participants in wedding parties. She had done hair and makeup for approximately fifteen weddings between 1994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Smith was in generally good health up to the time of the first accident. She occasionally suffered headaches, apparently related to her menstrual cycle and changes in birth control medication. This was largely resolved around 2000. She had experienced bouts of tendonitis, apparently related to the care of her infant daughter. She had experienced occasional bouts of neck and back pain, one associated with a motor vehicle accident in 1989, also a rear end collision, another associated with pregnancy, and another, apparently activity-related, in September 1998. The 1998 episode was resolved with the assistance of massage therapy in around ten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Smith was in another accident in 1991, but suffered no injuries. It was suggested to Ms Smith that she had been in yet another motor vehicle accident in 1992. She had no recollection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the first motor vehicle accident, Ms Smith's primary physical activities centred on childcare, including assisting her son in a minor baseball league, and her daughter in soccer. Her adult-oriented social activities included membership in a gourmet cooking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Immediately after the first accident, Ms Smith was unable to move the right side of her body. She was assisted by bystanders. Her sister picked her up and took her home. She regained movement in her right arm within a week. She suffered headaches, neck pain, and pain in the upper back and between the shoulder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advice of her physician, Ms Smith attended two physiotherapy sessions, then started working with a kinesiologist in January 2002. Her schedule did not permit regular attendance with the kinesiologist, who provided her with instruction on a series of exercises. She has continued these exercises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Smith assessed herself as fifty percent recovered as at December 28, 2003, the date of the second motor vehicle accident. Her persistent symptoms were of neck and back pain. The intensity of these pain symptoms increased in the days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advice of her physician, Ms Smith continued her pre-accident activities, and has been able to do so, in moderation. She finds herself exhausted by the end of the day. She experiences frustration due to constant pain. This makes her irritable with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Smith testified that the level and location of pain she now experiences changes from day to day. She suffers pain between the shoulder blades, in the back, and down her right leg. She does not believe that she could meet the physical demands of hairdressing, as her endurance while working at eye level with her hands is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Smith continues her active role in her son's hockey. She also takes driving vacations with the children, generally to Osoyoos, where they camp and Sea-doo on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to her involvement in her children's sport activities, she attends with both of them for auditions for roles in film productions.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the November 2001 accident, Ms Smith missed a work shift scheduled for November 29. She attempted a return to work in May 2002, but left after four hours due to neck and back pain. She has not returned to work since. She agreed that she made a choice to stay home with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Smith's right arm pain had resolved by June 2003. She had frequent headaches after the November 2001 accident. These were substantially resolved within one month. By January 2003, headaches were rare. On cross-examination, she agreed that she had no episodes of arm weakness after two months from the date of the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Donnelly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Donnelly has been Ms Smith's general physician since May 1993. She saw Ms Smith on November 23, 2001, and, based on her examination, diagnosed a neck strain/soft tissue injuries. She recommended neck and shoulder exercises, and prescribed anti-inflammatory and muscle relaxant medications for pain. Ms Smith reported little change in her symptoms on the eight subsequent visits between December 5, 2001 and January 27,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Donnelly referred Ms Smith to Dr. Cameron, a neurologist. Dr. Cameron reported, based on his October 7, 2003 examination, his opinion that she was suffering with a chronic discomfort condition as a result of soft tissue injuries sustained at the time of the November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Smith's symptoms persisted. In November 2003, Dr. Donnelly referred her to Dr. Hunt, a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the December 28, 2003 accident, Ms Smith attended a previously scheduled appointment with Dr. Hunt. Dr. Hunt reported on his January 13, 2004 examination. He observed significant degenerative changes in the cervical spine x-rays, and arranged for cervical and lumbar MRI scans. He agreed with Dr. Cameron that Ms Smith's problems are with the muscles, ligaments, joint capsules, and fibrous outer coating of the discs. This, in his opinion, was due to excessive stretching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Donnelly's opinion and prognosis are set out in the following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Smith has degenerative changes in both her cervical and lumbar spine, described in the MRI and CT results and discussed in Dr. Hunt's consultation. I think Ms Smith's degenerative disease will likely progress. Her symptoms are likely due to the accident related injuries but worse because of the underlying degenerative changes. It is not possible to determine to what degree these factors contribute to her symptoms nor to predict future problems or the effect the accident related injuries have on the underlying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there will be future disability, either total or partial, due to the combination of the underlying degenerative changes and the injuries sustained in the accidents. Any future accident could significantly worsen the prognosis. I cannot provide an accurate prognosis but I believe Ms Smith will have future disability because of the underlying degenerative changes and the injuries sustained in these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October 15, 2003 report to Dr. Donnelly, Dr. Cameron expresses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Mrs. Smith is suffering with a chronic discomfort condition as a result of soft tissue injuries that she sustained at the time of the motor vehicle accident in November 2001. Her neurological inquiry is completely normal.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Cameron prepared a medical-legal report, as requested by counsel for Ms Smith. This report, dated September 14, 2004, was served on the defendant in accordance with the Rules of Court. The defendant gave notice that Dr. Cameron's attendance was required for cross-examination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Cameron assessed Ms Smith on October 7, 2003, at which time she complained of ongoing headaches, neck pain, lower and upper back pain, and right upper extremity (arm) pain. She reported that these symptoms were prominent for a week after the accident, severe for about three to four months, then slowly improved until she plateaued. She was having some good days and some bad days. She was able to do all activities of normal living, but develops pain and discomfort. She reported feeling sixty percent back to normal, and that her main ongoing problem was right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Cameron's report affirms his opinion, as related to Dr. Donnelly, that Ms Smith suffered chronic discomfort and pain as a result of soft tissue injuries she sustained at the time of the November 13,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Cameron reassessed Ms Smith on August 24, 2004. She told him about the December 28, 2003 motor vehicle accident, and her experience of pain symptoms since that accident. She reported that her condition has plateaued, and that she continues to suffer with neck pain, occasional headaches, and right upper extremity pain. The pain is exacerbated by strenuous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Cameron was aware that Dr. Hunt, a neurosurgeon, had largely agreed with his October 2003 observations on the nature of Ms Smith's injuries. Dr. Hunt had also suggested that Ms Smith sustained a mild concussion at the time of both motor vehicle accidents. Dr. Cameron disagreed with this, as Ms Smith had been able to relate to him a complete recall of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Cameron's statement of opinion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my opinion that Ms Smith was partially disabled due to pain and discomfort, limiting her abilities to perform recreational activities and work-related activities around the house and raising her children after the first motor vehicle accident and up to the point in time of the second motor vehicle accident of December 28,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Smith suffered further soft tissue injuries at the time of the second motor vehicle accident of December 28, 2003, and it is my opinion that Ms Smith suffered exacerbation of preexisting pain in the neck, shoulder, and upper back at the time of the second motor vehicle accident of December 28, 2003. It is my opinion that Ms Smith continues to be partially disabled due to the ongoing pain and discomfort as a result of soft tissue injuries that she sustained at the time of the first motor vehicle accident, and which were exacerbated at the time of the second motor vehicle accident of December 28,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Cameron says Ms Smith remains partially disabled due to pain and discomfort, although she is able, as of August 2004, to perform all normal activities of living, including recreational activities. He asserts that it is probable that she will continue to improve up until approximately two years following the second motor vehicle accident. It is, he says, possible that she may suffer long-term pain and discomfort to a mild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Defence counsel waived the requirement for Dr. Cameron's attendance for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Hunt examined Ms Smith on January 13, 2004, approximately two weeks after the second motor vehicle accident. She reported her ongoing neck pain prior to the second accident, and of persistent mid and low back pain. She also reported that she had, in the past four months, developed pain radiating into her right buttock and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Hunt found some left side restriction in neck movement. He found no neurological abnormality in the upper or lower limbs. For the most part, he agreed with Dr. Cameron's October 2003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Hunt did, on his examination of x-rays, observe what he considered to be significant degenerative changes in Ms Smith's cervical spine. He ordered MRI scans of the cervical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Hunt prepared a medical-legal report at the request of plaintiff's counsel. It is dated August 25,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Hunt had examined Ms Smith on January 13 and August 17, 2004. She had also consulted with him on May 5, 2004. Dr. Hunt related that Ms Smith had reported increased discomfort between the shoulder blades over the past six months. His most recent physical examination revealed some limitation on neck rotation, and pain symptoms on neck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MRI scans of the cervical and lumbar spine, as recommended by Dr. Hunt on January 13, 2004, were performed on March 16, 2004. He observed a posterior disc bulge with an associated bone spur formation at the C5/6 cervical level, on the left side, and minor degenerative changes at the C4/5 and C6/7 cervical levels. The lumbar spine MRI scan demonstrated no significant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Hunt states that the MRI scan confirms that Ms Smith had pre-existing degenerative changes. These were more than one would expect from the motor vehicle accidents. Although he could not state with certainty the extent to which the injuries sustained in the motor vehicle accidents had contributed to the degenerative changes, he asserted a probability that some of the changes presently seen on MRI scanning and x-rays are due to forces applied to the cervical and lumbar spine at the time of the motor vehicle accidents. Dr. Hunt attributed Ms Smith's ongoing difficulties to muscle and ligamentous injuries. He recommended further MRI scanning if her symptoms continued to increase and she develops any neurological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Hunt says that Ms Smith's pre-existing degenerative changes made her more vulnerable to suffering adverse effects of the acute muscle and ligamentous strain of the cervical and lumbar spine from forces applied in the two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 further report dated October 21, 2004, Dr. Hunt reported on a further reassessment of Ms Smith, conducted October 19, 2004. He says that her condition has plateaued, and it is probable that she will continue to be restricted in her physical abilities. This, in his opinion, would preclude her from a career in hairdressing.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November 23, 2004, Ms Smith had an x-ray taken of her cervical spine. On November 24, 2004, Dr. Hunt reviewed this x-ray, and compared it to x-rays performed on December 13, 2001 and July 15, 2003. He then provided a written report to plaintiff's counsel, dated November 29, 2004, in which he expressed an opinion as to the progression of degenerative changes in the interval between 2001 and the present. He states in this report that there has been a greater degree of degenerative change than one would expect in an individual of 35 years of age.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it is this writer's opinion that the motor vehicle accidents of November 13, 2001 and December 28, 2003 as well as Ms Tina Smith's previous motor vehicle accidents, have all contributed to the development of the degenerative changes of her spine which are increasing to a degree that this writer believes that it is probable that she will be faced with cervical spinal surgery in the future. The exact timing for such an event cannot be determined by this writer, as there are a number of variables involved in this type of decision-making.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most recent opinion, Dr. Hunt stated that the bony structures of the cervical spine were encroaching on the openings through which the nerve routes pass. This affects her head and neck movements in the upward or extended direction. This affects her ability to perform everyday activities and, in particular, to work with her hands above eye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course of his direct evidence, Dr. Hunt offered yet another explanation for Ms Smith's ongoing pain symptoms. He explained that the narrowing of the disc space between the vertebrae, due to Ms Smith's accelerated degenerative spinal condition, could produce inflammation in the facet joints to the anterior of the vertebrae. This will produce pain symptoms and result in physical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Clement is a radiologist. His report, dated November 27, 2004, expresses an opinion on the significance of the extent of degenerative changes revealed on radiological imaging of Ms Smith's cervical spine between December 13, 2001 and November 23, 2004. These include x-rays taken December 13, 2001, July 15, 2003, November 23, 2004, a CT scan taken July 14, 2003, and an MRI taken March 16,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summary, Dr. Clement, whose particular expertise is in reading radiological imaging, found: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December 13, 2001, slight degenerative changes were present at the C5/6 and C6/7 levels;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spine, at the C5/6 level, was unchanged as of July 14, 2003 (CT scan) and July 15, 2003 (x-ray);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minimal degenerative changes had occurred at the C6/7 level between December 13, 2001 and July, 2003;</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possible to attribute the degenerative change noted, above, to the November 13, 2001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March 16, 2004 MRI shows no change at C5/6 and mild degenerative change, identical to that shown on the July 14, 2003 CT scan, at the C6/7 level;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to moderate neuroforaminal canal opening at level C5/6, and mild, right side, narrowing at level C6/7. The degree of narrowing is neurologically insignificant;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lumbar spine shows as normal on the March 16, 2004 MRI image.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concluding paragraph, Dr. Clement states that mild degenerative changes at C5/6 and C6/7 appear on examinations performed between December 2001 and November 23, 2004. Some progression between those dates is indicated at the C6/7 level. The progression is mild, and "not at all unusual even in a patient in their 30's". There is no indication that Ms Smith's degenerative changes or the mild progression of change at level C6/7 are attributable to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cross-examination, Dr. Clement testified of the absence of a strong correlation between degenerative spinal changes and pain symptoms. He agreed that the majority of women with changes of the sort observed would be asymptomatic most of the time. He also agreed that the majority of people with degenerative changes remain asymptomatic except at a very advanced 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Griesdale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Griesdale is a neurosurgeon. His clinical practice is largely concerned with the clinical assessment and operative treatment of patients with degenerative conditions of the cervical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Griesdale had reviewed the radiological imaging. In his opinion, Ms Smith's cervical spine exhibited degenerative changes before the November 13, 2001 accident, which were not extraordinary for a 35 year old patient. He found no basis for a concern that Ms Smith would require surgical intervention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cross-examination, Dr. Griesdale said he did not disagree with Dr. Hunt's opinion that the motor vehicle accidents have had the effect of rendering Ms Smith's degenerative changes symptomatic. He did not, however, agree that the accidents have had the effect of accelerating the degenerative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Dr. Griesdale's opinion, the most probable explanation for Ms Smith's symptoms is soft tissue injuries. The degenerative disease could be a contributing factor. When asked whether mild to moderate degenerative changes in the neck, as seen in Ms Smith, can aggravate the effect of a soft tissue injury to the neck, he said this is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Griesdale said there is sufficient foraminal space for the nerve roots at the C5/6 and C6/7 levels. He observed no indication on the radiological imaging that the process of degeneration has been accelerated. He agreed that, given the complexity of the neck structure and the processes giving rise to pain symptoms, a possible cause of symptoms is an irritation of the facet joints.</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Jeff Padvaiskas: Work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written report, authored by Mr. Padvaiskas, was entered in evidence. The report sets out Ms Smith's symptoms, and limitations on her activities, all as reported by her. She performed numerous directed tasks to enable Mr Padvaiskas to assess her dexterity, fitness, mobility, strength, and endurance.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Padvaiskas concluded, based on work capacity testing, that Ms Smith could meet the physical demands of her previous work at a bank. Generally, she is able to perform full time work, but has reduced suitability for work requiring sustained and prolonged sitting without weight shifting or opportunity for short breaks. She is limited in sustained above-shoulder reaching and work requiring sustained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Pallavi Raj Toor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Toor is an acquaintance of Ms Smith. She is a hairdresser, and has owned her own business since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Smith has been a client of Ms Toor from 1997 up to the present. Ms Toor would consider employing Ms Smith if she completed an accredited hairdressing course, obtained a licence, and was physically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Toor testified that her employees make between $3,000 and $3,500 monthly, plus tips of between $30 and $50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Toor also testified of the physical demands of hairdressers' work. Most of the day is spent standing, with the hands extended to the front at around shoulder level.</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and Cause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assertion that her pain symptoms are the result of spinal trauma sustained in the motor vehicle accidents has not been proven to a level of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Hunt's reference to facet joint irritation as an accident related cause of Ms Smith's symptoms was advanced as a possibility, not an opinion on the presence in fact of this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essential to the plaintiff's theory of causation that the evidence support some impingement of the nerve roots passing through the foraminal spaces of the cervical spine. I accept the evidence of Drs. Clement and Griesdale that the foraminal openings have not been sufficiently compromised to result in impingement on the nerve roots. Dr. Cameron found no neurological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evidence of Drs. Hunt, Clement and Griesdale support the plaintiff's contention that degenerative changes in her spine exceeded those which appear, on average, in women of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accept that Ms Smith did not, before the first accident, have symptoms associated with a disorder of the cervical spine. I accept Dr. Clement's evidence that any observed degenerative changes between December 2001 and November 2004 are not unusual, and that these changes are not likely to produce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apparent that Ms Smith's symptoms are not the result of degenerative changes to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Radiological imaging revealed the loss of lordotic curvature in Ms Smith's neck, and a disc bulge at C5/6. There is no evidence that these resulted from either accident, or that they explain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What, then, has caused Ms Smith's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Dr. Cameron's opinion that Ms Smith suffered soft tissue injuries in the November 2001 accident. She was partially disabled due to pain up to December 28, 2003, the date of the second accident. This accident resulted in further soft tissue injuries, which exacerbated her pre-existing neck, shoulder, and upper back pain. She continues to be partially disabled due to pain and discomfort as a result of these soft tissue injuries. This partial disability did not, as of August 2004, render her unable to perform any of the normal activities of living, including recreational activities. It is probable that she will be fully recovered by early 2006, two years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I have rejected Dr. Hunt's explanation for Ms Smith's problems, Dr. Cameron's opinion stands uncontroverted.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Cameron's report settles both the question of causation of Ms Smith's injuries, and the nature of those injuries. They are soft tissue injuries, initially caused by the November 2001 accident, and aggravated by the December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does not establish a substantial possibility that Ms Smith's ability to earn income has been affected by her injuries. Pain symptoms associated with each accident resolved sufficiently in the ensuing three to six months to permit her full involvement in her previous activities of daily living and recreational activities. Tests conducted in the course of her work capacity evaluation, and her presentation at trial, support the contention of the defence that she is a physically fit, active, young woman. Mr Padvaiskas' concerns over her endurance, if required to work with her arms at eye level, is not a sufficient basis for finding that her ability to work as a hairdresser has been diminished. Ms Toor's demonstration of the ergonomics of working on a client's coiffure did not support the contention that continuous eye level work is required. Dr. Hunt's opinion on Ms Smith's inability to work as a hairdresser is based on his concern that she may suffer from nerve impingement or facet joint inflammation. This is not supported by the evidence.</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Counsel for the plaintiff relied on authorities in which injuries, as found, were more severe and persistent than the injuries which I find Ms Smith sustained. These authorities include: Burnett v. Rose, </w:t>
      </w:r>
      <w:hyperlink r:id="rId554" w:history="1">
        <w:r>
          <w:rPr>
            <w:rFonts w:ascii="arial" w:eastAsia="arial" w:hAnsi="arial" w:cs="arial"/>
            <w:i/>
            <w:color w:val="0077CC"/>
            <w:sz w:val="20"/>
            <w:u w:val="single"/>
            <w:shd w:val="clear" w:color="auto" w:fill="FFFFFF"/>
            <w:lang w:val="en-US" w:eastAsia="en-US" w:bidi="ar-SA"/>
          </w:rPr>
          <w:t>[1999] B.C.J. No. 1881</w:t>
        </w:r>
      </w:hyperlink>
      <w:r>
        <w:rPr>
          <w:rFonts w:ascii="arial" w:eastAsia="arial" w:hAnsi="arial" w:cs="arial"/>
          <w:color w:val="000000"/>
          <w:sz w:val="20"/>
          <w:lang w:val="en-US" w:eastAsia="en-US" w:bidi="ar-SA"/>
        </w:rPr>
        <w:t xml:space="preserve"> (S.C.); Paller v. Paller, </w:t>
      </w:r>
      <w:hyperlink r:id="rId498" w:history="1">
        <w:r>
          <w:rPr>
            <w:rFonts w:ascii="arial" w:eastAsia="arial" w:hAnsi="arial" w:cs="arial"/>
            <w:i/>
            <w:color w:val="0077CC"/>
            <w:sz w:val="20"/>
            <w:u w:val="single"/>
            <w:shd w:val="clear" w:color="auto" w:fill="FFFFFF"/>
            <w:lang w:val="en-US" w:eastAsia="en-US" w:bidi="ar-SA"/>
          </w:rPr>
          <w:t>[2004] B.C.J. No. 1806</w:t>
        </w:r>
      </w:hyperlink>
      <w:r>
        <w:rPr>
          <w:rFonts w:ascii="arial" w:eastAsia="arial" w:hAnsi="arial" w:cs="arial"/>
          <w:color w:val="000000"/>
          <w:sz w:val="20"/>
          <w:lang w:val="en-US" w:eastAsia="en-US" w:bidi="ar-SA"/>
        </w:rPr>
        <w:t xml:space="preserve"> (S.C.); Monahan v. Nelson, </w:t>
      </w:r>
      <w:hyperlink r:id="rId555" w:history="1">
        <w:r>
          <w:rPr>
            <w:rFonts w:ascii="arial" w:eastAsia="arial" w:hAnsi="arial" w:cs="arial"/>
            <w:i/>
            <w:color w:val="0077CC"/>
            <w:sz w:val="20"/>
            <w:u w:val="single"/>
            <w:shd w:val="clear" w:color="auto" w:fill="FFFFFF"/>
            <w:lang w:val="en-US" w:eastAsia="en-US" w:bidi="ar-SA"/>
          </w:rPr>
          <w:t>[1997] B.C.J. No. 870</w:t>
        </w:r>
      </w:hyperlink>
      <w:r>
        <w:rPr>
          <w:rFonts w:ascii="arial" w:eastAsia="arial" w:hAnsi="arial" w:cs="arial"/>
          <w:color w:val="000000"/>
          <w:sz w:val="20"/>
          <w:lang w:val="en-US" w:eastAsia="en-US" w:bidi="ar-SA"/>
        </w:rPr>
        <w:t xml:space="preserve"> (S.C.); Tsang v. Vermerris, </w:t>
      </w:r>
      <w:hyperlink r:id="rId556" w:history="1">
        <w:r>
          <w:rPr>
            <w:rFonts w:ascii="arial" w:eastAsia="arial" w:hAnsi="arial" w:cs="arial"/>
            <w:i/>
            <w:color w:val="0077CC"/>
            <w:sz w:val="20"/>
            <w:u w:val="single"/>
            <w:shd w:val="clear" w:color="auto" w:fill="FFFFFF"/>
            <w:lang w:val="en-US" w:eastAsia="en-US" w:bidi="ar-SA"/>
          </w:rPr>
          <w:t>[1997] B.C.J. No. 246</w:t>
        </w:r>
      </w:hyperlink>
      <w:r>
        <w:rPr>
          <w:rFonts w:ascii="arial" w:eastAsia="arial" w:hAnsi="arial" w:cs="arial"/>
          <w:color w:val="000000"/>
          <w:sz w:val="20"/>
          <w:lang w:val="en-US" w:eastAsia="en-US" w:bidi="ar-SA"/>
        </w:rPr>
        <w:t xml:space="preserve"> (S.C.); and Brown v. Black Top Cabs Ltd, </w:t>
      </w:r>
      <w:hyperlink r:id="rId557" w:history="1">
        <w:r>
          <w:rPr>
            <w:rFonts w:ascii="arial" w:eastAsia="arial" w:hAnsi="arial" w:cs="arial"/>
            <w:i/>
            <w:color w:val="0077CC"/>
            <w:sz w:val="20"/>
            <w:u w:val="single"/>
            <w:shd w:val="clear" w:color="auto" w:fill="FFFFFF"/>
            <w:lang w:val="en-US" w:eastAsia="en-US" w:bidi="ar-SA"/>
          </w:rPr>
          <w:t>[1995] B.C.J. No. 1846</w:t>
        </w:r>
      </w:hyperlink>
      <w:r>
        <w:rPr>
          <w:rFonts w:ascii="arial" w:eastAsia="arial" w:hAnsi="arial" w:cs="arial"/>
          <w:color w:val="000000"/>
          <w:sz w:val="20"/>
          <w:lang w:val="en-US" w:eastAsia="en-US" w:bidi="ar-SA"/>
        </w:rPr>
        <w:t xml:space="preserve"> (S.C.). In these cases, non-pecuniary damages ranged from $50,000 to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range of damages proposed by the plaintiff relate to injuries more of the nature suggested by Dr. Hunt than I have found Ms Smith suffered, based on her evidence, and the evidence of 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Counsel for the defendants relied on the following cases in submissions on range of damages: Tuchscherer v. McMaster &amp; Bruggeman, </w:t>
      </w:r>
      <w:hyperlink r:id="rId558" w:history="1">
        <w:r>
          <w:rPr>
            <w:rFonts w:ascii="arial" w:eastAsia="arial" w:hAnsi="arial" w:cs="arial"/>
            <w:i/>
            <w:color w:val="0077CC"/>
            <w:sz w:val="20"/>
            <w:u w:val="single"/>
            <w:shd w:val="clear" w:color="auto" w:fill="FFFFFF"/>
            <w:lang w:val="en-US" w:eastAsia="en-US" w:bidi="ar-SA"/>
          </w:rPr>
          <w:t>[2001] B.C.J. No. 2036</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2001 BCSC 1340</w:t>
        </w:r>
      </w:hyperlink>
      <w:r>
        <w:rPr>
          <w:rFonts w:ascii="arial" w:eastAsia="arial" w:hAnsi="arial" w:cs="arial"/>
          <w:color w:val="000000"/>
          <w:sz w:val="20"/>
          <w:lang w:val="en-US" w:eastAsia="en-US" w:bidi="ar-SA"/>
        </w:rPr>
        <w:t xml:space="preserve">; Kovacevic v. Leischner, </w:t>
      </w:r>
      <w:hyperlink r:id="rId559" w:history="1">
        <w:r>
          <w:rPr>
            <w:rFonts w:ascii="arial" w:eastAsia="arial" w:hAnsi="arial" w:cs="arial"/>
            <w:i/>
            <w:color w:val="0077CC"/>
            <w:sz w:val="20"/>
            <w:u w:val="single"/>
            <w:shd w:val="clear" w:color="auto" w:fill="FFFFFF"/>
            <w:lang w:val="en-US" w:eastAsia="en-US" w:bidi="ar-SA"/>
          </w:rPr>
          <w:t>[2000] B.C.J. No. 2039</w:t>
        </w:r>
      </w:hyperlink>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2000 BCSC 1492</w:t>
        </w:r>
      </w:hyperlink>
      <w:r>
        <w:rPr>
          <w:rFonts w:ascii="arial" w:eastAsia="arial" w:hAnsi="arial" w:cs="arial"/>
          <w:color w:val="000000"/>
          <w:sz w:val="20"/>
          <w:lang w:val="en-US" w:eastAsia="en-US" w:bidi="ar-SA"/>
        </w:rPr>
        <w:t xml:space="preserve">; Dowell v. Knight, </w:t>
      </w:r>
      <w:hyperlink r:id="rId560" w:history="1">
        <w:r>
          <w:rPr>
            <w:rFonts w:ascii="arial" w:eastAsia="arial" w:hAnsi="arial" w:cs="arial"/>
            <w:i/>
            <w:color w:val="0077CC"/>
            <w:sz w:val="20"/>
            <w:u w:val="single"/>
            <w:shd w:val="clear" w:color="auto" w:fill="FFFFFF"/>
            <w:lang w:val="en-US" w:eastAsia="en-US" w:bidi="ar-SA"/>
          </w:rPr>
          <w:t>[2002] B.C.J. No. 2547</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2002 BCSC 1566</w:t>
        </w:r>
      </w:hyperlink>
      <w:r>
        <w:rPr>
          <w:rFonts w:ascii="arial" w:eastAsia="arial" w:hAnsi="arial" w:cs="arial"/>
          <w:color w:val="000000"/>
          <w:sz w:val="20"/>
          <w:lang w:val="en-US" w:eastAsia="en-US" w:bidi="ar-SA"/>
        </w:rPr>
        <w:t xml:space="preserve">; Galbraith v. Marin, </w:t>
      </w:r>
      <w:hyperlink r:id="rId561" w:history="1">
        <w:r>
          <w:rPr>
            <w:rFonts w:ascii="arial" w:eastAsia="arial" w:hAnsi="arial" w:cs="arial"/>
            <w:i/>
            <w:color w:val="0077CC"/>
            <w:sz w:val="20"/>
            <w:u w:val="single"/>
            <w:shd w:val="clear" w:color="auto" w:fill="FFFFFF"/>
            <w:lang w:val="en-US" w:eastAsia="en-US" w:bidi="ar-SA"/>
          </w:rPr>
          <w:t>[2004] B.C.J. No. 1012</w:t>
        </w:r>
      </w:hyperlink>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2004 BCSC 671</w:t>
        </w:r>
      </w:hyperlink>
      <w:r>
        <w:rPr>
          <w:rFonts w:ascii="arial" w:eastAsia="arial" w:hAnsi="arial" w:cs="arial"/>
          <w:color w:val="000000"/>
          <w:sz w:val="20"/>
          <w:lang w:val="en-US" w:eastAsia="en-US" w:bidi="ar-SA"/>
        </w:rPr>
        <w:t xml:space="preserve">; Pennykid v. Escribano, </w:t>
      </w:r>
      <w:hyperlink r:id="rId562" w:history="1">
        <w:r>
          <w:rPr>
            <w:rFonts w:ascii="arial" w:eastAsia="arial" w:hAnsi="arial" w:cs="arial"/>
            <w:i/>
            <w:color w:val="0077CC"/>
            <w:sz w:val="20"/>
            <w:u w:val="single"/>
            <w:shd w:val="clear" w:color="auto" w:fill="FFFFFF"/>
            <w:lang w:val="en-US" w:eastAsia="en-US" w:bidi="ar-SA"/>
          </w:rPr>
          <w:t>[2004] B.C.J. No. 1497</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2004 BCSC 954</w:t>
        </w:r>
      </w:hyperlink>
      <w:r>
        <w:rPr>
          <w:rFonts w:ascii="arial" w:eastAsia="arial" w:hAnsi="arial" w:cs="arial"/>
          <w:color w:val="000000"/>
          <w:sz w:val="20"/>
          <w:lang w:val="en-US" w:eastAsia="en-US" w:bidi="ar-SA"/>
        </w:rPr>
        <w:t xml:space="preserve">; Read v. Marques, </w:t>
      </w:r>
      <w:hyperlink r:id="rId563" w:history="1">
        <w:r>
          <w:rPr>
            <w:rFonts w:ascii="arial" w:eastAsia="arial" w:hAnsi="arial" w:cs="arial"/>
            <w:i/>
            <w:color w:val="0077CC"/>
            <w:sz w:val="20"/>
            <w:u w:val="single"/>
            <w:shd w:val="clear" w:color="auto" w:fill="FFFFFF"/>
            <w:lang w:val="en-US" w:eastAsia="en-US" w:bidi="ar-SA"/>
          </w:rPr>
          <w:t>[2003] B.C.J. No. 256</w:t>
        </w:r>
      </w:hyperlink>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2003 BCSC 167</w:t>
        </w:r>
      </w:hyperlink>
      <w:r>
        <w:rPr>
          <w:rFonts w:ascii="arial" w:eastAsia="arial" w:hAnsi="arial" w:cs="arial"/>
          <w:color w:val="000000"/>
          <w:sz w:val="20"/>
          <w:lang w:val="en-US" w:eastAsia="en-US" w:bidi="ar-SA"/>
        </w:rPr>
        <w:t xml:space="preserve">; Cowen v. Farmer, </w:t>
      </w:r>
      <w:hyperlink r:id="rId564" w:history="1">
        <w:r>
          <w:rPr>
            <w:rFonts w:ascii="arial" w:eastAsia="arial" w:hAnsi="arial" w:cs="arial"/>
            <w:i/>
            <w:color w:val="0077CC"/>
            <w:sz w:val="20"/>
            <w:u w:val="single"/>
            <w:shd w:val="clear" w:color="auto" w:fill="FFFFFF"/>
            <w:lang w:val="en-US" w:eastAsia="en-US" w:bidi="ar-SA"/>
          </w:rPr>
          <w:t>[2001] B.C.J. No. 1437</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2001 BCSC 1006</w:t>
        </w:r>
      </w:hyperlink>
      <w:r>
        <w:rPr>
          <w:rFonts w:ascii="arial" w:eastAsia="arial" w:hAnsi="arial" w:cs="arial"/>
          <w:color w:val="000000"/>
          <w:sz w:val="20"/>
          <w:lang w:val="en-US" w:eastAsia="en-US" w:bidi="ar-SA"/>
        </w:rPr>
        <w:t xml:space="preserve">; and Taschereau v. Scarfo, </w:t>
      </w:r>
      <w:hyperlink r:id="rId565" w:history="1">
        <w:r>
          <w:rPr>
            <w:rFonts w:ascii="arial" w:eastAsia="arial" w:hAnsi="arial" w:cs="arial"/>
            <w:i/>
            <w:color w:val="0077CC"/>
            <w:sz w:val="20"/>
            <w:u w:val="single"/>
            <w:shd w:val="clear" w:color="auto" w:fill="FFFFFF"/>
            <w:lang w:val="en-US" w:eastAsia="en-US" w:bidi="ar-SA"/>
          </w:rPr>
          <w:t>[2002] B.C.J. No. 854</w:t>
        </w:r>
      </w:hyperlink>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2002 BCSC 604</w:t>
        </w:r>
      </w:hyperlink>
      <w:r>
        <w:rPr>
          <w:rFonts w:ascii="arial" w:eastAsia="arial" w:hAnsi="arial" w:cs="arial"/>
          <w:color w:val="000000"/>
          <w:sz w:val="20"/>
          <w:lang w:val="en-US" w:eastAsia="en-US" w:bidi="ar-SA"/>
        </w:rPr>
        <w:t>. The suggested range, based on these authorities, was between $10,000 and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While the injuries sustained by Ms Smith were more similar in their nature to those sustained by the plaintiffs in authorities relied on by the defence, the injuries sustained by Ms Smith were, I find, somewhat more severe and persistent than those found in the defendants'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accept Ms Smith's evidence that she sustained significant neck, upper back and right arm pain following the November 2001 accident. She also experienced frequent headaches. The arm pain and headaches were substantially resolved within a fairly short time. The neck and shoulder pain persisted, and had diminished by 50-60% when the second accident occurred in December 2003. Although Ms Smith had been cleared for a return to work in March 2002, an attempt at work in May 2002 resulted in severe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Smith's persistent symptoms were made worse by the December 2003 collision. By August 2004, she was capable of performing all of her regular activities, albeit with some lingering discomfort. It is apparent that Dr. Cameron's report best describes both Ms Smith's injuries and the consequences, for her, of these injuries. I also accept Dr. Cameron's prognosis for a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the following authorities of greater assistance in determining the award of damages in this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Campbell v. Makela, </w:t>
      </w:r>
      <w:hyperlink r:id="rId566" w:history="1">
        <w:r>
          <w:rPr>
            <w:rFonts w:ascii="arial" w:eastAsia="arial" w:hAnsi="arial" w:cs="arial"/>
            <w:i/>
            <w:color w:val="0077CC"/>
            <w:sz w:val="20"/>
            <w:u w:val="single"/>
            <w:shd w:val="clear" w:color="auto" w:fill="FFFFFF"/>
            <w:lang w:val="en-US" w:eastAsia="en-US" w:bidi="ar-SA"/>
          </w:rPr>
          <w:t>[2003] B.C.J. No. 943</w:t>
        </w:r>
      </w:hyperlink>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2003 BCSC 634</w:t>
        </w:r>
      </w:hyperlink>
      <w:r>
        <w:rPr>
          <w:rFonts w:ascii="arial" w:eastAsia="arial" w:hAnsi="arial" w:cs="arial"/>
          <w:color w:val="000000"/>
          <w:sz w:val="20"/>
          <w:lang w:val="en-US" w:eastAsia="en-US" w:bidi="ar-SA"/>
        </w:rPr>
        <w:t xml:space="preserve"> ($20,000)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and initial symptoms: the accident was a rear-ender that occurred Aug. 5, 2000. The vehicle was a write off. The plaintiff's immediate symptoms were headache, dizziness, shoulder pain and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at trial: the trial was held 32 months after the accident. Kirkpatrick J. found that the plaintiff had suffered a grade II whiplash. The acute phase of the injury resolved by about 50% within two months from the MVA. The plaintiff followed a conscientious exercise program. However, despite his efforts, he continues to experience flare ups of pain. Kirkpatrick J. could not conclude that the plaintiff would never fully recover. The plaintiff's continuing pain prevents him from enjoying the full range of activities he enjoyed before the accident. The activities he can do with his kids are limited, as is his ability to do household chores.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Rota v. Ross, </w:t>
      </w:r>
      <w:hyperlink r:id="rId567" w:history="1">
        <w:r>
          <w:rPr>
            <w:rFonts w:ascii="arial" w:eastAsia="arial" w:hAnsi="arial" w:cs="arial"/>
            <w:i/>
            <w:color w:val="0077CC"/>
            <w:sz w:val="20"/>
            <w:u w:val="single"/>
            <w:shd w:val="clear" w:color="auto" w:fill="FFFFFF"/>
            <w:lang w:val="en-US" w:eastAsia="en-US" w:bidi="ar-SA"/>
          </w:rPr>
          <w:t>[2002] B.C.J. No. 2872</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2002 BCSC 1761</w:t>
        </w:r>
      </w:hyperlink>
      <w:r>
        <w:rPr>
          <w:rFonts w:ascii="arial" w:eastAsia="arial" w:hAnsi="arial" w:cs="arial"/>
          <w:color w:val="000000"/>
          <w:sz w:val="20"/>
          <w:lang w:val="en-US" w:eastAsia="en-US" w:bidi="ar-SA"/>
        </w:rPr>
        <w:t xml:space="preserve"> ($30,000)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and initial symptoms: accident was a rear-ender that occurred Oct. 14, 1998. Within minutes of the accident the plaintiff felt a burning sensation down her neck + headache. Initial diagnosis was a grade one whiplash. Didn't miss any work because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at trial: clear that plaintiff suffered a moderate soft tissue, whiplash type, injury that has been slow to resolve. It has caused and continues to cause pain in her left back and shoulder area, some four years since the accident. Her condition has plateaued. Some continued improvement is expected (though no finding on whether or not there will be a full recovery). Her continuing pain interferes with her activities (such as jogging, housework).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Goertzen v. Ryan, </w:t>
      </w:r>
      <w:hyperlink r:id="rId568" w:history="1">
        <w:r>
          <w:rPr>
            <w:rFonts w:ascii="arial" w:eastAsia="arial" w:hAnsi="arial" w:cs="arial"/>
            <w:i/>
            <w:color w:val="0077CC"/>
            <w:sz w:val="20"/>
            <w:u w:val="single"/>
            <w:shd w:val="clear" w:color="auto" w:fill="FFFFFF"/>
            <w:lang w:val="en-US" w:eastAsia="en-US" w:bidi="ar-SA"/>
          </w:rPr>
          <w:t>[2000] B.C.J. No. 1617</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2000 BCSC 1170</w:t>
        </w:r>
      </w:hyperlink>
      <w:r>
        <w:rPr>
          <w:rFonts w:ascii="arial" w:eastAsia="arial" w:hAnsi="arial" w:cs="arial"/>
          <w:color w:val="000000"/>
          <w:sz w:val="20"/>
          <w:lang w:val="en-US" w:eastAsia="en-US" w:bidi="ar-SA"/>
        </w:rPr>
        <w:t xml:space="preserve"> ($20,000)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and initial symptoms: accident was a rear-ender that occurred July 2, 1997. Impact was substantial, caused 10K damage to def's vehicle. Plaintiff's back became progressively stiff over course of evening, by next day, she was very stiff and sore. She developed a headache that lasted several weeks. As she began to improve in her upper back, her lower back began to give her a fair bit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at trial: trial was January 27, 2000, about 2 1/2 years from MVA. There was some dispute over the plaintiff's efforts at mitigation. The plaintiff did less rehab as she started to work more as she improved. This resulted in some flare ups. The judge would not treat this as a failure to mitigate. The judge found that the plaintiff suffered a moderate whiplash with the majority of symptoms resolving within about 7.5 months post accident. Since then she had flare ups and occasional difficulty with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Savage v. Dore, </w:t>
      </w:r>
      <w:hyperlink r:id="rId569" w:history="1">
        <w:r>
          <w:rPr>
            <w:rFonts w:ascii="arial" w:eastAsia="arial" w:hAnsi="arial" w:cs="arial"/>
            <w:i/>
            <w:color w:val="0077CC"/>
            <w:sz w:val="20"/>
            <w:u w:val="single"/>
            <w:shd w:val="clear" w:color="auto" w:fill="FFFFFF"/>
            <w:lang w:val="en-US" w:eastAsia="en-US" w:bidi="ar-SA"/>
          </w:rPr>
          <w:t>[1998] B.C.J. No. 253</w:t>
        </w:r>
      </w:hyperlink>
      <w:r>
        <w:rPr>
          <w:rFonts w:ascii="arial" w:eastAsia="arial" w:hAnsi="arial" w:cs="arial"/>
          <w:color w:val="000000"/>
          <w:sz w:val="20"/>
          <w:lang w:val="en-US" w:eastAsia="en-US" w:bidi="ar-SA"/>
        </w:rPr>
        <w:t xml:space="preserve"> ($22,000)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#1 and initial symptoms: rear-ended on June 14, 1993. She suffered immediate neck and right shoulder pain. Prior to second accident she saw her doctor 13 times and attended 27 physio appointments + 3 massage therapy. Symptoms had improved within 6 weeks, but she was not fully recovered at time of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before the second accident in February 1994, she had headaches 3 or 4 times a week, her arms and legs had some activity related pain, and her back and neck were 50% improved.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About 8 months later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#2 and initial symptoms: rear-ended on February 23, 1994. After this accident her back and neck stiffened right up. These symptoms lasted 8 to 12 weeks, after which her symptoms diminished to pre-second accident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assess Ms Smith's non-pecuniary damages at the sum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Smith did not advance a claim for special damages or past loss of income. As I have found that her earning capacity was not diminished as a result of her injuries, there will be no award under that head of damages.</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Subject to submissions counsel may wish to make on costs, I would award the plaintiff her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Surespan Structures Ltd. v. Lloyd's Underwriters, [2018] B.C.J. No. 1251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Winteringham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4, 2017; January 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S178116, S1710837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2018 BCSC 1058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294 A.C.W.S. (3d) 837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79 B.L.R. (5th) 283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80 C.L.R. (4th) 114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82 C.C.L.I. (5th) 138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[2018] 11 W.W.R. 539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[2018] I.L.R. para. I-6072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14 B.C.L.R. (6th) 169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2018 CarswellBC 1709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Surespan Structures Ltd., Petitioner, and Lloyd's Underwriters, QBE Lloyd's Syndicate 1886 and QBE Lloyd's Syndicate DCH 386, Respondents And between HGS Limited, Petitioner, and Lloyd's Underwriters, QBE Lloyd's Syndicate 1886 and QBE Lloyd's Syndicate DCH 386,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3" w:name="Keywords_30"/>
      <w:bookmarkEnd w:id="193"/>
      <w:r>
        <w:rPr>
          <w:rFonts w:ascii="arial" w:eastAsia="arial" w:hAnsi="arial" w:cs="arial"/>
          <w:b/>
          <w:color w:val="000000"/>
          <w:sz w:val="20"/>
          <w:lang w:val="en-US" w:eastAsia="en-US" w:bidi="ar-SA"/>
        </w:rPr>
        <w:t>Insurance law — The insurance contract — Application — Formation of the contract — Mistake — Interpretation — Coverage provisions and exclusion clauses — Application by Surespan and HGS for declaration they were "insureds" under project professional liability insurance policy issued by Lloyd's Underwriters allowed — Application related to alleged defects in hospital parkades for which Surespan and HGS had provided engineering design and related services — Policy claim was denied by Lloyd's on basis Surespan and HGS were not specifically named — Other company, Stantec had submitted policy application — Surespan and HGS were covered under clause insuring all firms providing professional services — Clause had not been included erroneously — Policy application specifically referenced services provided by Surespan and HGS.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4" w:name="Case Summary_27"/>
            <w:bookmarkEnd w:id="1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Surespan Structures Ltd. and HGS Limited for a declaration they were "insureds" under a project professional liability insurance policy issued by Lloyd's Underwriters. The application related to alleged defects in hospital parkades for which Surespan and HGS had provided engineering design and related services. A local health authority entered into an agreement with THP Partnership (Project Co.) to design and build two hospitals and parkades. Project Co. subcontracted the design-build portion to Graham, which subcontracted to Surespan, which in turn subcontracted to HGS. Graham also engaged Stantec Architecture Ltd. to undertake the design portion of the project. Stantec had submitted the application for the Lloyd's insurance policy. Surespan and HGS had not participated in the policy application process and the policy did not mention them by name. When cracks requiring immediate remediation were found in the concrete of the parkades, Surespan and HGS made a claim for coverage under the policy. The claim was denied by Lloyd's on the basis Surespan and HGS were not named in the policy. Surespan and HGS asserted they were insureds under the policy because it covered all firms providing professional services in regards to the project, and they also fit under the definition of insured as provided in Clause 3 of the policy. Surespan and HGS further objected to the admission of extrinsic evidence as there was no ambiguity in the policy. Lloyd's asserted Surespan and HGS did not qualify as insureds under Clause 5 of the policy, which was limited to "reported" firms, and that Clause 3 had been erroneously included and did not reflect the intention of the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5" w:name="Holdings of Court_22"/>
            <w:bookmarkEnd w:id="19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Authorities were clear that the primary interpretive principle was when the language of an insurance policy was unambiguous, the court should give effect to clear language, reading the contract as a whole. The general rules of contract construction were not to be used to create an ambiguity where none existed. Authorities suggested a court could consider various evidence to determine the intention of parties: commercial purpose of the contract and its aims and objectives; nature of the industry, and the parties' objective intention. However, a court should not consider parties' subjective intention or negotiations. Here, as Lloyd's drafted the policy, contra proferentem worked against them, supporting Surespan's broad interpretations. Regarding the objections of Surespan and HGS to the use of extrinsic evidence, it was impermissible to use such evidence of negotiation to interpret the policy. On a plain reading, Clause 3, provided coverage for firms that provided professional services, which included design and construction of the parkades. Such services had also been contemplated in the policy application form, which specifically referenced parkades. Lloyd's contention that it was not the parties' intention to include Clause 3 was not accepted. Clause 5 only suggested coverage could be provided for professional services performed other than those described in the application form. The language of the policy was not ambiguous. Surespan and HGS were insureds.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6" w:name="Counsel_30"/>
      <w:bookmarkEnd w:id="1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Surespan Structures Ltd.: D.L. Miachika, K. Johanson.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Petitioner, HGS Limited: J. Meadows, A. Way, D. Lambert,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Lloyd's Underwriters, QBE Lloyd's Sundicate 1886 and QBE Lloyd's Sundicate DCH 386: D.J. Smith.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7" w:name="Judgment_30"/>
      <w:bookmarkEnd w:id="197"/>
      <w:r>
        <w:pict>
          <v:line id="_x0000_s1170" style="position:absolute;z-index:2517923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8" w:name="WINTERINGHAM J."/>
            <w:bookmarkEnd w:id="198"/>
            <w:r>
              <w:rPr>
                <w:rFonts w:ascii="arial" w:eastAsia="arial" w:hAnsi="arial" w:cs="arial"/>
                <w:b/>
                <w:color w:val="000000"/>
                <w:sz w:val="30"/>
                <w:lang w:val="en-US" w:eastAsia="en-US" w:bidi="ar-SA"/>
              </w:rPr>
              <w:t>WINTERINGHAM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Petitioners, Surespan Structures Ltd. ("Surespan") and HGS Limited ("HGS") seek a declaration that they are "insureds" under a project professional liability insurance policy issued by the Respondents. The Petitioners provided engineering design and related services for parkades as a part of a larger construction project of two hospitals in Campbell River and Comox, B.C. In late 2016, the contractor notified the Petitioners about alleged defects in both parkades. These Petitions relate solely to the issue of whether the Petitioners are insureds under the insurance policy. At this time, the court is not asked to determine coverage generally or fault for any alleged parkade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NATURE OF APPLICATION AND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Petitioners seek:</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Surespan and HGS are each an insured as defined in Professional Liability Policy No. SPR010778 (the "Policy") issued and underwritten by the Respondents;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on or before January 30, 2017, the Respondents received a notice of claim and a claim for coverage under the Policy from the Petitioners;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Respondents, having received the notice of claim, are required to provide the Respondents' written position on coverage and the reasons for it, and pay all covered claims within sixty days of the date of this Order;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preliminary objection was raised regarding the admissibility of affidavit material filed by the Respondents. I address that objection at paras. 52 and 53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Petitioner Surespan is a design-build contractor. The Petitioner HGS is an architectural and engineering firm. Both participated in the design and/or construction of the parkades associated with the hospitals. Surespan and HGS each filed a Petition seeking declaratory relief. By order entered November 29, 2017, the parties agreed that the Petitions be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2014, Vancouver Island Health Authority entered into an agreement with THP Partnership ("Project Co.") to, among other things, design and build two hospitals, including parkades in Campbell River and Comox, B.C.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What follows is an overview of the relationship between the various entities involved in the Project. This overview is necessary to understand the scope of the Project and to understand the Petitioners' role in it and place the insurance issue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Project Co. subcontracted the design-build portion of the Project to Graham Design Builders LP ("Graham"). Graham subcontracted the design-build work for the Project parkades to Surespan. Surespan subcontracted much of the design work for the Project parkades to HGS.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its Amended Petition, Surespan set out these details regarding the building and design arrangements: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On or about June 25, 2014, Project Co. entered into a design-build agreement with Graham, whereby Graham agreed to design and construct the Comox Valley facility and the Campbell River facility for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Pursuant to a Design Services Agreement, Graham engaged Stantec Architecture Ltd. ("Stantec") to undertake the design portion of the Project and to retain the necessary sub-consultants, including a structural engineer, to achieve this. Stantec's scope of work excluded some items, such as the design of the heliport, but it did not exclude the design of the two parkades.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Surespan proposed to Graham that the parkades be designed and built by Surespan based on precast rather than cast-in-place structures in order to reduce the construction schedule, thereby reducing cost and schedule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Graham agreed and entered into subcontracts with Surespan whereby Surespan agreed to perform certain obligations regarding the construction of the two parkade structures for the Project, including the design of the precast concrete components as well as their supply and installation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On or about August 12, 2014, Surespan entered into a subcontract or subcontracts with HGS whereby HGS agreed to perform engineering design services and portions of the Surespan Professional Services for each of the parkades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Surespan prepared architectural concept sketches for the cast-in-place foundation and the pre-cast structure for the two parkades. Surespan provided the sketches to Graham on July 17, 2014 and Graham subsequently approved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HGS provided engineering services for the precast concrete components of both parkades, including structural engineering design. The HGS structural drawings were sealed by a structural engineer. Further details are set out in Surespan's Amended Petition: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Under this arrangement, Stantec, as the Registered Professional of Record, had overall professional responsibility for the structural design of the Project including the parkades; however, the structural design of the precast concrete components of the parkade structures was undertaken by HGS as the Supporting Registered Professional.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Stantec was responsible for and undertook the design of the cast-in-place foundation for the parkades, although Stantec relied on load data provided by HGS. Graham constructed this foundation.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Following construction of the cast-in-place concrete foundations by Graham, Surespan erected the pre-cast concrete parkade structures in accordance with the HGS design drawings between August 2015 and November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November 22, 2016 and December 1, 2016, Graham informed Surespan that cracks had been discovered at both parkades. On January 24, 2017, Graham demanded that Surespan repair the alleged defects. Because the defects were said to present an imminent risk, Surespan was required to take immediate preventative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Graham informed Surespan that the parkade defects were the result of errors or omissions in the design by Surespan and/or HGS. Various steps were taken between April 30, 2017 and August 31, 2017 to complete the parkade remediation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August 2017, Surespan filed a notice of civil claim against HGS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relating to the alleged parkade defects.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Policy Application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their written submissions, the Petitioners describe the application process relating to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Stantec submitted an application for the Policy dated 12 July 2014 (the "Application Form"). Under the space for "Main proposer's role in the Project", Stantec wrote: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ARCHITECTURE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ENGINEERING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CIVIL ENGINEERING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LANDSCAPE ARCHITECTURE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A "Breakdown of Professional duties" required to be performed by or on behalf of the Proposer in connection with this Project included structural engineering (with gross fees of $3,297,000), as well as architectural, civil engineering, mechanical engineering, electrical engineering, project management, landscape design, LEED, and other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Under the space for "the estimated gross professional fees for all parties to be included for this insurance" the application stated "30,000,000.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w:t>
      </w:r>
      <w:r>
        <w:rPr>
          <w:rFonts w:ascii="arial" w:eastAsia="arial" w:hAnsi="arial" w:cs="arial"/>
          <w:color w:val="000000"/>
          <w:sz w:val="20"/>
          <w:u w:val="single"/>
          <w:lang w:val="en-US" w:eastAsia="en-US" w:bidi="ar-SA"/>
        </w:rPr>
        <w:t>application form contained a list of "high risk work types" to be checked if applicable. Item "q", "multi-storey car parks" was checked "yes" and "(two parkades)" was handwritten on the form</w:t>
      </w:r>
      <w:r>
        <w:rPr>
          <w:rFonts w:ascii="arial" w:eastAsia="arial" w:hAnsi="arial" w:cs="arial"/>
          <w:color w:val="000000"/>
          <w:sz w:val="20"/>
          <w:lang w:val="en-US" w:eastAsia="en-US" w:bidi="ar-SA"/>
        </w:rPr>
        <w:t>, along with the construction value of $11,400,000.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Under the space for "brief summary of the proposer's works to be insured under this policy", Stantec wrote: "Architecture and engineering design services as defined within the [Design Services Agreement] between Stantec Architecture and Graham."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As of July 12, 2014, when Stantec signed the application form, the whole design of the parkades was still within Stantec's scope of work. As set out above, Surespan subsequently submitted its proposal to perform the work on July 17, 2014 and Graham executed the Surespan [design business agreement] in November 2014, with an effective date of July 28,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 details relating to the application process and issuance of the Policy were set out in HGS' written submissions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Stantec submitted an application form as part of the process for issuance of the Policy. The application form is dated July 12, 2014 (the "Application Form"). The Application Form is a document created by the respondents that provides information in order to allow them to issue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There appear to have been two "versions" of the Application Form submitted by Stantec, although both are dated July 12, 2014. The second version of the Application Form only contains minor changes to the names of the listed sub-consultants or sub-contractors (sections 5 and 8 of the Application Form), with the pages containing the changes initialled in the bottom right-hand corner. The pages with the changes appear to have been slip-sheeted into the original Application Form submitted by Stantec. Otherwise, the document remains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In both versions of the Application Form, Stantec describes its role in the Project inclusive of the following professional services: Architecture; Building Engineering; Civil Engineering; Landscape Architecture.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Section 5 of the Application Form asks the proposer to set out a list of "professional duties to be performed </w:t>
      </w:r>
      <w:r>
        <w:rPr>
          <w:rFonts w:ascii="arial" w:eastAsia="arial" w:hAnsi="arial" w:cs="arial"/>
          <w:color w:val="000000"/>
          <w:sz w:val="20"/>
          <w:u w:val="single"/>
          <w:lang w:val="en-US" w:eastAsia="en-US" w:bidi="ar-SA"/>
        </w:rPr>
        <w:t>by or on behalf of the</w:t>
      </w:r>
      <w:r>
        <w:rPr>
          <w:rFonts w:ascii="arial" w:eastAsia="arial" w:hAnsi="arial" w:cs="arial"/>
          <w:color w:val="000000"/>
          <w:sz w:val="20"/>
          <w:lang w:val="en-US" w:eastAsia="en-US" w:bidi="ar-SA"/>
        </w:rPr>
        <w:t xml:space="preserve"> proposer in connection with this project". Included in this list is "Structural Engineering" with a total gross fee, including any amount sub-contracted, of $3,297,000. Importantly, there are other professional services set out in the list which are not stated as being professional duties to be performed on the Project. This includes, for example, "Environmental Engineering", "Heating and Ventilation" and "Quantity Surveying".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Respondents issued the Policy for the Project effective June 25, 2014 through September 30, 2018. The premium for the Policy was $1,078,235 and the limit of liability was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Relevant to the issues raised in the Petition, the Policy contains a number of definitions. Any terms that have been defined in the Policy are written in all capital letters: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I - DEFINITIONS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this POLICY certain words have been capitalized to indicate that they have a specific meaning as shown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Insurance Companies and/or Syndicates as subscribed.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NAMED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person or organization so designated in the Schedule of this Insurance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NAMED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person(s) or organization(s) so designated in the Schedule of this Insurance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INSURED(S)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NAMED INSURED;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NAMED INSURED;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other firm(s) which have or will provide PROFESSIONAL SERVICES in regard to the PROJECT;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present or former partner, executive officer, director, shareholder or employee of the first named insured or of the named insured while acting within the scope of that person's duties for the first named insured or the named insured;</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other firm(s) which have or will provide professional services in regard to the Project provided that such additional firms are reported and accepted by the Insurer along with details of the professional services to be provided, the date on which the firm is to commence the provision of services, and their professional fees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 as described in the Schedule of this insurance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or an oral demand for money or services, or</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or oral allegation of breach in the rendering or failure to render PROFESSIONAL SERVICES; received by the INSURED and resulting from a single error, omission or negligent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CLAIMS arising from a single error, omission or negligent act shall be considered a single CLAIM regardless of the number of INSUREDS or the number of persons or organizations making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Compensatory DAMAGES payable to claimants but does not include interest, fines, penalties, (whether contractual or other), or liquidated, punitive or exemplary damages, or fees which have either not been paid to the INSURED or which the INSURED has been asked to return.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PROFESSIONAL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as part of or incidental to the INSURED'S business as building or engineering contractors or as otherwise stated in the written application made to the INSURER the PROFESSIONAL SERVICES in respect of which cover is granted under this POLICY shall be defined as those services specifically described in the application which the INSURED is legally qualified to perform for others, including but not limited to PROFESSIONAL SERVICES as 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architect or engineer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II - INSURANCE COVERAGE THE INSURER'S OBLIGATIONS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excess of the INSURED'S EXCESS, THE INSURER will pay on behalf of the INSURED all sums which the INSURED becomes liable to pay as DAMAGES arising out of a CLAIM in regards to the PROJECT, provided the INSURED'S liability is the result of an error, omission, or negligent act of the INSURED or those employees or sub-consultants or sub-contractors for whom the INSURED is legally liable, in the performance of the PROFESSIONAL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maximum amount THE INSURER will pay for each CLAIM and in the aggregate for all CLAIMS made against the INSURED during the POLICY PERIOD and covered by this POLICY is, no matter how many INSUREDS there are under this POLICY or how many persons or organizations make a CLAIM, as shown on the SCHEDULE page of this POLICY as the Limits of Liability per CLAIM and Aggregate Amount Payable respectively.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 has the obligation and right to defend the INSURED in any civil suit or arbitration proceeding arising out of a CLAIM in regard to the PROJECT for which coverage is provided by this POLICY, even if the allegations against the INSURED are groundless, false or fraudulent.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Petitioners did not participate in the application process. The Policy does not identify by name either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Relevant to the insurance issues here is the fact that "professional services" is a defined term in Clause 3. It is not a defined term for Clause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Notice to the Insurer and Denial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Petitioners delivered notice of the potential loss regarding the parkades on January 13, 2017 and explained the "urgency of the remedial work required" and "sought consent to incur repair costs without prejudice to the Insurer's other rights and requested a response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Having received no response, the Petitioners delivered a second correspondence to the Insurer on January 30, 2017 and again noted the urgency of its request for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 response was delivered until March 31, 2017 when the Respondents wrote to Surespan acknowledging the claim for coverage made on behalf of Surespan and HGS but denying coverage for the claim on the basis that Surespan and HGS were not named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Respondents state that the Petitioners do not qualify as insureds under the Policy and say neither is entitled to insurance coverage under the Policy. Relying on Clause 5 of the Policy, the Respondents put their position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Policy was issued to "[Stantec] and consultants declared in the application." Neither [Surespan] nor HGS were declared in the application or named as insureds by endorsement.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Respondents contend that Clause 3 of the Policy "was included in error and does not reflect the intent of the parties with respect to the scope of coverage provided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To explain the "error", the Respondents rely on an Affidavit of Scott Pidduck wherein he describes the negotiations between the insurance broker, Aon Risk Solutions ("Aon") and Stantec.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Respondents contend that the Policy reflects the intention that the limits found in Clause 5 with respect to unnamed insureds govern the scope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Clause 3 of the Policy, the Respondents says that its inclusion in the Policy was the result of inadvertence in the preparation and/or printing of the Policy and that the parties intended Clause 5 to govern the scope of the term "insureds" and that Clause 3 be deleted from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To correct the error, the Respondents do not seek rectification of the Policy. Rather, the Respondents submit that the court can simply ignore Clause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Relying on Clause 5 of the Policy, the Respondents submit that the Petitioners do not qualify as insureds: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fact that the [Petitioner Surespan] entered into a contract with [Graham] does not entitle them to insurance coverage under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Clause 5 requires that any person or entity to be covered under the Policy had to be reported to and accepted by the Respondent, following the Respondent's receipt of a brief description of the professional services to be provided, the date on which the firm is to commence the provision of services, and their estimated professional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As set out in the August 5th, 2014 email sent by the Respondent to Aon, the Policy was a fixed premium policy. If any additional subconsultants or sub-contractors were to be added to these policies, they would only be added once the Respondent had vetted and deemed the additional party to be suitable to the risk initially underwritten. Adding such party would come with additional premium being charged.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Respondent was never provided with such information about the Petitioner or HGS and never accepted the Petitioner or HGS as insureds under the Policy. No additional premium was ever charged.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There is no provision in the Policy which grants coverage to an entity on the basis that Graham (who is not a party to the Policy) agreed to provide insurance coverage to that entity for work provided with respect to the [Project]. The application form was signed by Stantec and Stantec is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Petitioners assert that they are insureds under the Policy because it insures all firms providing professional services in regards to the Project against liability arising from errors or omissions in providing such services. The Petitioners submit there is no doubt that they provided professional services with regards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Furthermore, the Petitioners submit they are insureds under the Policy because they fit under the clear and unambiguous definition of insured as provided in Clause 3 and when the Policy is read as a whole, Clause 3 can only be reasonably interpreted as submitted by the Petitioners. In addition, the Petitioners submit Clause 3 is consistent with the reasonable expectations of the parties and Clause 5 and/or the endorsement do not expressly override Clause 3. If there is any ambiguity in Clause 3 (which the Petitioners say there is not), it should be construed broadly in favour of coverage for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Petitioners next address the Respondents' submission that Clause 5 reflects the parties' intentions and Clause 3 does not (even though both are terms of the Policy). Here, the Petitioners say that submission cannot stand because it is contrary to the principles of interpretation of insurance policies and contrary to the plain and ordinary wording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Petitioners object to the admissibility of the Respondents' evidence regarding "negotiations in emails from an incomplete underwriting file". If found to be admissible, the Petitioners submit such evidence is not relevant to interpret the Policy because the Definition of Insured is not ambiguous and, even if it were, extrinsic evidence of negotiations cannot be relied on to contradict a policy's written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Lastly, the Petitioners address the Respondents' submission that Clause 3 was left in the Policy in error. The Petitioners note that the Respondents did not seek to rectify the Policy and, even if they had, the evidence tendered here falls short of meeting the high burden of "clear, convincing and cogent evidence" of mutual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Interpretation of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parties rely on the multitude of authorities governing the interpretation of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Petitioners start by identifying the purpose of a project liability insurance policy as similar to that of a project course of construction policy. That is to provide broad coverage to insure all project design professionals against insured losses. A project policy is intended to cover all project participants to ensure that there are funds available to the parties performing the insured services in order to rebuild in case of loss by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to avoid litigating amongst themselves. For this proposition, the Petitioners rely on </w:t>
      </w:r>
      <w:r>
        <w:rPr>
          <w:rFonts w:ascii="arial" w:eastAsia="arial" w:hAnsi="arial" w:cs="arial"/>
          <w:i/>
          <w:color w:val="000000"/>
          <w:sz w:val="20"/>
          <w:lang w:val="en-US" w:eastAsia="en-US" w:bidi="ar-SA"/>
        </w:rPr>
        <w:t>Commonwealth Construction Company Limited v. Imperial Oil Ltd. et al.</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[1978] 1 S.C.R. 317</w:t>
        </w:r>
      </w:hyperlink>
      <w:r>
        <w:rPr>
          <w:rFonts w:ascii="arial" w:eastAsia="arial" w:hAnsi="arial" w:cs="arial"/>
          <w:color w:val="000000"/>
          <w:sz w:val="20"/>
          <w:lang w:val="en-US" w:eastAsia="en-US" w:bidi="ar-SA"/>
        </w:rPr>
        <w:t xml:space="preserve"> at pages 323-324 and 328: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any construction site, and especially when the building being erected is a complex chemical plant, there is ever present the possibility of damage by one tradesman to the property of another and to the construction as a whole. Should this possibility become reality,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complete property coverage would have to be debated in court. By recognizing in all tradesmen an insurable interest based on that very real possibility, which itself has its source in the contractual arrangements opening the doors of the job site to the tradesmen, the courts would apply to the construction field the principle expressed so long ago in the area of bailment. Thus all the parties whose joint efforts have one common goal,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,the completion of the construction, would be spared the necessity of fighting between themselves should an accident occur involving the possible responsibility of one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already noted, the multi-peril policy under consideration is called in the contract between Imperial and Wellman-Lord a course of construction insurance. In England, it is usually called a "Contractors' all risks insurance" and in the United States, it is referred to as "Builders' risk policy". Whatever its label, its function is to provide to the owner the promise that the contractors will have the funds to rebuild in case of loss and to the contractors the protection against the crippling cost of starting afresh in such an event, the whole without resort to litigation in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anyone connected with the construction, a risk accepted by the insurers at the outset. This purpose recognizes the importance of keeping to a minimum the difficulties that are bound to be created by the large number of participants in a major construction project, the complexity of which needs no demonstration. It also recognizes the realities of industrial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leading authority on the interpretation of insurance policies generally is the decision of the Supreme Court of Canada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primary interpretive principle is that when the language of the policy is unambiguous, the court should give effect to clear language, reading the contract as a whole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Where the language of the insurance policy is ambiguous, the courts rely on general rules of contract construction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pp. 900-902). For example, courts should prefer interpretations that are consistent with the reasonable expectations of the parties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[2009] 3 S.C.R. 605</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so long as such an interpretation can be supported by the text of the policy. Courts should avoid interpretations that would give rise to an unrealistic result or that would not have been in the contemplation of the parties at the time the policy was concluded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Courts should also strive to ensure that similar insurance policies are construed consistently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 These rules of construction are applied to resolve ambiguity. They do not operate to create ambiguity where there is none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When these rules of construction fail to resolve the ambiguity, courts will construe the policy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 against the insurer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at pp. 899-901). One corollary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is that coverage provisions are interpreted broadly, and exclusion clauses narrowly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B.C. Court of Appeal recently provided a useful summary of the interpretative approach in </w:t>
      </w:r>
      <w:r>
        <w:rPr>
          <w:rFonts w:ascii="arial" w:eastAsia="arial" w:hAnsi="arial" w:cs="arial"/>
          <w:i/>
          <w:color w:val="000000"/>
          <w:sz w:val="20"/>
          <w:lang w:val="en-US" w:eastAsia="en-US" w:bidi="ar-SA"/>
        </w:rPr>
        <w:t>Coburn v. Family Insurance Solutions</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2014 BCCA 73</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general principles governing interpretation of insurance contracts are settled law. The provisions of an insurance contract that provide coverage are to be construed broadly. Ambiguity in the language is resolved in the insured's favour. Provisions of an insurance contract that exclude or limit coverage are to be construed narrowly. Contracts are construed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for the reason that the language chosen is that of the insurer. Where the policy is ambiguous, effect should be given to the reasonable expectation of the parties: </w:t>
      </w:r>
      <w:r>
        <w:rPr>
          <w:rFonts w:ascii="arial" w:eastAsia="arial" w:hAnsi="arial" w:cs="arial"/>
          <w:i/>
          <w:color w:val="000000"/>
          <w:sz w:val="20"/>
          <w:lang w:val="en-US" w:eastAsia="en-US" w:bidi="ar-SA"/>
        </w:rPr>
        <w:t>Reid Crowther &amp; Partners Ltd. v. Simcoe &amp; Erie General Insurance Co.</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99 D.L.R. (4th) 741</w:t>
        </w:r>
      </w:hyperlink>
      <w:r>
        <w:rPr>
          <w:rFonts w:ascii="arial" w:eastAsia="arial" w:hAnsi="arial" w:cs="arial"/>
          <w:color w:val="000000"/>
          <w:sz w:val="20"/>
          <w:lang w:val="en-US" w:eastAsia="en-US" w:bidi="ar-SA"/>
        </w:rPr>
        <w:t xml:space="preserve">. While any ambiguity in the contract should be resolved against the insurer a court must first find ambiguity before applying the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rule: </w:t>
      </w:r>
      <w:r>
        <w:rPr>
          <w:rFonts w:ascii="arial" w:eastAsia="arial" w:hAnsi="arial" w:cs="arial"/>
          <w:i/>
          <w:color w:val="000000"/>
          <w:sz w:val="20"/>
          <w:lang w:val="en-US" w:eastAsia="en-US" w:bidi="ar-SA"/>
        </w:rPr>
        <w:t>Kinnear v. Canadian Recreation Excellence (Vernon) Corp.</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2012 BCCA 291</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352 D.L.R. (4th) 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Economical Mutual Insurance Company v. Gill</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2017 BCCA 351</w:t>
        </w:r>
      </w:hyperlink>
      <w:r>
        <w:rPr>
          <w:rFonts w:ascii="arial" w:eastAsia="arial" w:hAnsi="arial" w:cs="arial"/>
          <w:color w:val="000000"/>
          <w:sz w:val="20"/>
          <w:lang w:val="en-US" w:eastAsia="en-US" w:bidi="ar-SA"/>
        </w:rPr>
        <w:t>, Frankel J.A. reminded that courts must be cautious about searching for or creating ambiguity where none exists. An ambiguity only exists where, on a fair reading of a policy as a whole, two reasonable interpretations emerge such that it cannot be objectively said what agreement the parties made. This analysis must be rooted in the wording of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Courts must be cautious against searching for or creating an ambiguity where none exists: </w:t>
      </w:r>
      <w:r>
        <w:rPr>
          <w:rFonts w:ascii="arial" w:eastAsia="arial" w:hAnsi="arial" w:cs="arial"/>
          <w:i/>
          <w:color w:val="000000"/>
          <w:sz w:val="20"/>
          <w:lang w:val="en-US" w:eastAsia="en-US" w:bidi="ar-SA"/>
        </w:rPr>
        <w:t>Pacific Rim Nutrition Ltd. v. Guardian Insurance Co. of Canada</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(1998), 54 B.C.L.R. (3d) 111</w:t>
        </w:r>
      </w:hyperlink>
      <w:r>
        <w:rPr>
          <w:rFonts w:ascii="arial" w:eastAsia="arial" w:hAnsi="arial" w:cs="arial"/>
          <w:color w:val="000000"/>
          <w:sz w:val="20"/>
          <w:lang w:val="en-US" w:eastAsia="en-US" w:bidi="ar-SA"/>
        </w:rPr>
        <w:t xml:space="preserve"> at para. 22 (C.A.); </w:t>
      </w:r>
      <w:r>
        <w:rPr>
          <w:rFonts w:ascii="arial" w:eastAsia="arial" w:hAnsi="arial" w:cs="arial"/>
          <w:i/>
          <w:color w:val="000000"/>
          <w:sz w:val="20"/>
          <w:lang w:val="en-US" w:eastAsia="en-US" w:bidi="ar-SA"/>
        </w:rPr>
        <w:t>Riordan v. Lombard Insurance Co.</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2003 BCCA 267</w:t>
        </w:r>
      </w:hyperlink>
      <w:r>
        <w:rPr>
          <w:rFonts w:ascii="arial" w:eastAsia="arial" w:hAnsi="arial" w:cs="arial"/>
          <w:color w:val="000000"/>
          <w:sz w:val="20"/>
          <w:lang w:val="en-US" w:eastAsia="en-US" w:bidi="ar-SA"/>
        </w:rPr>
        <w:t xml:space="preserve"> at para. 20, </w:t>
      </w:r>
      <w:hyperlink r:id="rId588" w:history="1">
        <w:r>
          <w:rPr>
            <w:rFonts w:ascii="arial" w:eastAsia="arial" w:hAnsi="arial" w:cs="arial"/>
            <w:i/>
            <w:color w:val="0077CC"/>
            <w:sz w:val="20"/>
            <w:u w:val="single"/>
            <w:shd w:val="clear" w:color="auto" w:fill="FFFFFF"/>
            <w:lang w:val="en-US" w:eastAsia="en-US" w:bidi="ar-SA"/>
          </w:rPr>
          <w:t>13 B.C.L.R. (4th) 335</w:t>
        </w:r>
      </w:hyperlink>
      <w:r>
        <w:rPr>
          <w:rFonts w:ascii="arial" w:eastAsia="arial" w:hAnsi="arial" w:cs="arial"/>
          <w:color w:val="000000"/>
          <w:sz w:val="20"/>
          <w:lang w:val="en-US" w:eastAsia="en-US" w:bidi="ar-SA"/>
        </w:rPr>
        <w:t xml:space="preserve">. "An ambiguity can be said to exist only where, on a fair reading of the agreement as a whole, two reasonable interpretations emerge such that it cannot be objectively said what agreement the parties made": </w:t>
      </w:r>
      <w:r>
        <w:rPr>
          <w:rFonts w:ascii="arial" w:eastAsia="arial" w:hAnsi="arial" w:cs="arial"/>
          <w:i/>
          <w:color w:val="000000"/>
          <w:sz w:val="20"/>
          <w:lang w:val="en-US" w:eastAsia="en-US" w:bidi="ar-SA"/>
        </w:rPr>
        <w:t>Water Street Pictures Ltd. v. Forefront Releasing Inc.</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2006 BCCA 459</w:t>
        </w:r>
      </w:hyperlink>
      <w:r>
        <w:rPr>
          <w:rFonts w:ascii="arial" w:eastAsia="arial" w:hAnsi="arial" w:cs="arial"/>
          <w:color w:val="000000"/>
          <w:sz w:val="20"/>
          <w:lang w:val="en-US" w:eastAsia="en-US" w:bidi="ar-SA"/>
        </w:rPr>
        <w:t xml:space="preserve"> at para. 26, </w:t>
      </w:r>
      <w:hyperlink r:id="rId589" w:history="1">
        <w:r>
          <w:rPr>
            <w:rFonts w:ascii="arial" w:eastAsia="arial" w:hAnsi="arial" w:cs="arial"/>
            <w:i/>
            <w:color w:val="0077CC"/>
            <w:sz w:val="20"/>
            <w:u w:val="single"/>
            <w:shd w:val="clear" w:color="auto" w:fill="FFFFFF"/>
            <w:lang w:val="en-US" w:eastAsia="en-US" w:bidi="ar-SA"/>
          </w:rPr>
          <w:t>57 B.C.L.R. (4th)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Lowry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Frankel J.A., relies on an earlier case of the B.C. Court of Appeal, </w:t>
      </w:r>
      <w:r>
        <w:rPr>
          <w:rFonts w:ascii="arial" w:eastAsia="arial" w:hAnsi="arial" w:cs="arial"/>
          <w:i/>
          <w:color w:val="000000"/>
          <w:sz w:val="20"/>
          <w:lang w:val="en-US" w:eastAsia="en-US" w:bidi="ar-SA"/>
        </w:rPr>
        <w:t>Riordan v. Lombard Insurance Co.</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2003 BCCA 267</w:t>
        </w:r>
      </w:hyperlink>
      <w:r>
        <w:rPr>
          <w:rFonts w:ascii="arial" w:eastAsia="arial" w:hAnsi="arial" w:cs="arial"/>
          <w:color w:val="000000"/>
          <w:sz w:val="20"/>
          <w:lang w:val="en-US" w:eastAsia="en-US" w:bidi="ar-SA"/>
        </w:rPr>
        <w:t>, where Hollinrake J.A. further warned against creating ambiguities where none exist: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first thing I deal with is the judge relying on the reasonable expectations of the parties as he did. This is an interpretative tool used by the judge to conclude, as I read his judgment, there was an ambiguity as to the word "insured" within the exclusion clause. It is significant here that the exclusionary clause does not refer to "insured" as being the person whose intentional or criminal act avoids coverage but rather that clause refers to "any person insured by this policy." The judge concluded, again as I read his judgment, that Schab was a person who falls within the definition of "you" and "your" and thus, while not saying so, for the purpose of coverage and without reference to any exclusionary clause is an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position of the appellant on the issue of reasonable expectations is that this doctrine "is a tool to resolve, rather than create, an ambiguity" citing </w:t>
      </w:r>
      <w:r>
        <w:rPr>
          <w:rFonts w:ascii="arial" w:eastAsia="arial" w:hAnsi="arial" w:cs="arial"/>
          <w:i/>
          <w:color w:val="000000"/>
          <w:sz w:val="20"/>
          <w:lang w:val="en-US" w:eastAsia="en-US" w:bidi="ar-SA"/>
        </w:rPr>
        <w:t>Reid Crowther</w:t>
      </w:r>
      <w:r>
        <w:rPr>
          <w:rFonts w:ascii="arial" w:eastAsia="arial" w:hAnsi="arial" w:cs="arial"/>
          <w:color w:val="000000"/>
          <w:sz w:val="20"/>
          <w:lang w:val="en-US" w:eastAsia="en-US" w:bidi="ar-SA"/>
        </w:rPr>
        <w:t xml:space="preserve">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agree with this submission and, with respect, I conclude that the judge below fell into error on this aspect of his analysis and, in my opinion, that that error is critical to 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its written submissions, HGS summarized the Petitioners' contention that the court cannot search out or create an ambiguity. HGS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This point was made clear by the British Columbia Court of Appeal in </w:t>
      </w:r>
      <w:r>
        <w:rPr>
          <w:rFonts w:ascii="arial" w:eastAsia="arial" w:hAnsi="arial" w:cs="arial"/>
          <w:i/>
          <w:color w:val="000000"/>
          <w:sz w:val="20"/>
          <w:lang w:val="en-US" w:eastAsia="en-US" w:bidi="ar-SA"/>
        </w:rPr>
        <w:t>Water Street Pictures Ltd. v. Forefront Releasing Inc.</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2006 BCCA 459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 Street Pictures</w:t>
      </w:r>
      <w:r>
        <w:rPr>
          <w:rFonts w:ascii="arial" w:eastAsia="arial" w:hAnsi="arial" w:cs="arial"/>
          <w:color w:val="000000"/>
          <w:sz w:val="20"/>
          <w:lang w:val="en-US" w:eastAsia="en-US" w:bidi="ar-SA"/>
        </w:rPr>
        <w:t>"], at para. 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only when the intentions of the parties cannot be objectively determined from the words they have chosen to employ, such that there is ambiguity, that the law permits consideration to be given to evidence of their conduct in making their agreement and in fulfilling their obligations. If it were otherwise, the certainty that is essential to documenting commercial transactions would be seriously undermined.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In </w:t>
      </w:r>
      <w:r>
        <w:rPr>
          <w:rFonts w:ascii="arial" w:eastAsia="arial" w:hAnsi="arial" w:cs="arial"/>
          <w:i/>
          <w:color w:val="000000"/>
          <w:sz w:val="20"/>
          <w:lang w:val="en-US" w:eastAsia="en-US" w:bidi="ar-SA"/>
        </w:rPr>
        <w:t>Water Street Pictures</w:t>
      </w:r>
      <w:r>
        <w:rPr>
          <w:rFonts w:ascii="arial" w:eastAsia="arial" w:hAnsi="arial" w:cs="arial"/>
          <w:color w:val="000000"/>
          <w:sz w:val="20"/>
          <w:lang w:val="en-US" w:eastAsia="en-US" w:bidi="ar-SA"/>
        </w:rPr>
        <w:t>, the Court of Appeal also emphasized two additional points germane to this matter: (1) courts must not search for an ambiguity where none exists based on the wording of the contract; and (2) the rules which exist to resolve ambiguities cannot be invoked in order to create an ambiguity that is not there when looking at the wording. The Court of Appeal summarized at para. 25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But there must be a true ambiguity before recourse can be had to evidence of the way in which the parties conducted themselves. It is well recognized that a court is not to search for ambiguity. In </w:t>
      </w:r>
      <w:r>
        <w:rPr>
          <w:rFonts w:ascii="arial" w:eastAsia="arial" w:hAnsi="arial" w:cs="arial"/>
          <w:i/>
          <w:color w:val="000000"/>
          <w:sz w:val="20"/>
          <w:lang w:val="en-US" w:eastAsia="en-US" w:bidi="ar-SA"/>
        </w:rPr>
        <w:t>Melanesian Mission Trust Board v. Australian Mutual Provident Society</w:t>
      </w:r>
      <w:r>
        <w:rPr>
          <w:rFonts w:ascii="arial" w:eastAsia="arial" w:hAnsi="arial" w:cs="arial"/>
          <w:color w:val="000000"/>
          <w:sz w:val="20"/>
          <w:lang w:val="en-US" w:eastAsia="en-US" w:bidi="ar-SA"/>
        </w:rPr>
        <w:t>, [1996] UKPC 53, [1996] J.C.J. No. 63 at para. 9, Lord Hope of Craighead expressed the caution a court must exercise in this regard,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approach which must be taken to the construction of a clause in a formal document of this kind is well settled. The intention of the parties is to be discovered from the words used in the document. Where ordinary words have been used they must be taken to have been used according to the ordinary meaning of these words. If their meaning is clear and unambiguous, effect must be given to them because that is what the parties are taken to have agreed to by their contract. Various rules may be invoked to assist interpretation in the event that there is an ambiguity. But it is not the function of the court, when construing a document, to search for an ambiguity. Nor should the rules which exist to resolve ambiguities be invoked in order to create an ambiguity which, according to the ordinary meaning of the words, is not there. So the starting point is to examine the words used in order to see whether they are clear and unambiguous. It is of course legitimate to look at the document as a whole and to examine the context in which these words have been used, as the context may affect the meaning of the words. But unless the context shows that the ordinary meaning cannot be given to them or that there is an ambiguity, the ordinary meaning of the words which have been used in the document must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above authorities make clear that the primary interpretive principle is that when the language of a policy is unambiguous, the court should give effect to clear language, reading the contract as a whole. Where the language of an insurance policy is truly ambiguous such that two reasonable interpretations exist, the court relies on general rules of contract construction such as preferring interpretations that are consistent with the reasonable expectations of the parties so long as the interpretation can be supported by the text of said policy. The court is not, however, to use the rules of construction to create an ambiguity where none exists.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Determining Intent of the Contracting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Respondents invite the court to examine the circumstances surrounding the issuance of the Policy. In so doing, the Respondents suggest that the surrounding circumstances support the Respondents' interpretation that Clause 5 governs and "when read as a whole, it is clear that the Policy is intended by the parties to provide professional liability insurance with respect to the [Project] to only those entities identified in the Policy". In light of the Respondents' submission, I will review, in addition to the authorities mentioned above, the principles that provide guidance regarding the court's role in determining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Supreme Court of Canada explained the reliance that can be placed on surrounding circumstances to determine intention in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While the surrounding circumstances will be considered in interpreting the terms of a contract, they must never be allowed to overwhelm the words of that agreement (</w:t>
      </w:r>
      <w:r>
        <w:rPr>
          <w:rFonts w:ascii="arial" w:eastAsia="arial" w:hAnsi="arial" w:cs="arial"/>
          <w:i/>
          <w:color w:val="000000"/>
          <w:sz w:val="20"/>
          <w:lang w:val="en-US" w:eastAsia="en-US" w:bidi="ar-SA"/>
        </w:rPr>
        <w:t>Hayes Forest Services</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[2008] B.C.J. No. 108</w:t>
        </w:r>
      </w:hyperlink>
      <w:r>
        <w:rPr>
          <w:rFonts w:ascii="arial" w:eastAsia="arial" w:hAnsi="arial" w:cs="arial"/>
          <w:color w:val="000000"/>
          <w:sz w:val="20"/>
          <w:lang w:val="en-US" w:eastAsia="en-US" w:bidi="ar-SA"/>
        </w:rPr>
        <w:t xml:space="preserve"> at para. 14; and Hall, at p. 30). The goal of examining such evidence is to deepen a decision-maker's understanding of the mutual and objective intentions of the parties as expressed in the words of the contract. The interpretation of a written contractual provision must always be grounded in the text and read in light of the entire contract (Hall, at pp. 15 and 30-32). While the surrounding circumstances are relied upon in the interpretive process, courts cannot use them to deviate from the text such that the court effectively creates a new agreement (</w:t>
      </w:r>
      <w:r>
        <w:rPr>
          <w:rFonts w:ascii="arial" w:eastAsia="arial" w:hAnsi="arial" w:cs="arial"/>
          <w:i/>
          <w:color w:val="000000"/>
          <w:sz w:val="20"/>
          <w:lang w:val="en-US" w:eastAsia="en-US" w:bidi="ar-SA"/>
        </w:rPr>
        <w:t>Glaswegian Enterprises Inc. v. B.C. Tel Mobility Cellular Inc</w:t>
      </w:r>
      <w:r>
        <w:rPr>
          <w:rFonts w:ascii="arial" w:eastAsia="arial" w:hAnsi="arial" w:cs="arial"/>
          <w:color w:val="000000"/>
          <w:sz w:val="20"/>
          <w:lang w:val="en-US" w:eastAsia="en-US" w:bidi="ar-SA"/>
        </w:rPr>
        <w:t xml:space="preserve">. (1997), </w:t>
      </w:r>
      <w:hyperlink r:id="rId592" w:history="1">
        <w:r>
          <w:rPr>
            <w:rFonts w:ascii="arial" w:eastAsia="arial" w:hAnsi="arial" w:cs="arial"/>
            <w:i/>
            <w:color w:val="0077CC"/>
            <w:sz w:val="20"/>
            <w:u w:val="single"/>
            <w:shd w:val="clear" w:color="auto" w:fill="FFFFFF"/>
            <w:lang w:val="en-US" w:eastAsia="en-US" w:bidi="ar-SA"/>
          </w:rPr>
          <w:t>1997 CanLII 4085</w:t>
        </w:r>
      </w:hyperlink>
      <w:r>
        <w:rPr>
          <w:rFonts w:ascii="arial" w:eastAsia="arial" w:hAnsi="arial" w:cs="arial"/>
          <w:color w:val="000000"/>
          <w:sz w:val="20"/>
          <w:lang w:val="en-US" w:eastAsia="en-US" w:bidi="ar-SA"/>
        </w:rPr>
        <w:t xml:space="preserve"> (BC CA), </w:t>
      </w:r>
      <w:hyperlink r:id="rId592" w:history="1">
        <w:r>
          <w:rPr>
            <w:rFonts w:ascii="arial" w:eastAsia="arial" w:hAnsi="arial" w:cs="arial"/>
            <w:i/>
            <w:color w:val="0077CC"/>
            <w:sz w:val="20"/>
            <w:u w:val="single"/>
            <w:shd w:val="clear" w:color="auto" w:fill="FFFFFF"/>
            <w:lang w:val="en-US" w:eastAsia="en-US" w:bidi="ar-SA"/>
          </w:rPr>
          <w:t>101 B.C.A.C. 62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The parol evidence rule does not apply to preclude evidence of the surrounding circumstances. Such evidence is consistent with the objectives of finality and certainty because it is used as an interpretive aid for determining the meaning of the written words chosen by the parties, not to change or overrule the meaning of those words. The surrounding circumstances are facts known or facts that reasonably ought to have been known to both parties at or before the date of contracting; therefore, the concern of unreliability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King v. Operating Engineers Training Institute of Manitoba Inc.</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2011 MBCA 80</w:t>
        </w:r>
      </w:hyperlink>
      <w:r>
        <w:rPr>
          <w:rFonts w:ascii="arial" w:eastAsia="arial" w:hAnsi="arial" w:cs="arial"/>
          <w:color w:val="000000"/>
          <w:sz w:val="20"/>
          <w:lang w:val="en-US" w:eastAsia="en-US" w:bidi="ar-SA"/>
        </w:rPr>
        <w:t>, the Manitoba Court of Appeal explained the use, recognizing its limitations, that could be made of evidence regarding surrounding circumstances. The Manitoba Court of Appeal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While the surrounding circumstances may be referred to even in the absence of an ambiguity, those circumstances, or factual matrix, should consist of objective evidence of the background facts at the time of the execution of the contract, not the subjective evidence of one party's intention or of the negotiations leading to the final contract. See </w:t>
      </w:r>
      <w:r>
        <w:rPr>
          <w:rFonts w:ascii="arial" w:eastAsia="arial" w:hAnsi="arial" w:cs="arial"/>
          <w:i/>
          <w:color w:val="000000"/>
          <w:sz w:val="20"/>
          <w:lang w:val="en-US" w:eastAsia="en-US" w:bidi="ar-SA"/>
        </w:rPr>
        <w:t>Eli Lilly</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[1998] 2 S.C.R. 129</w:t>
        </w:r>
      </w:hyperlink>
      <w:r>
        <w:rPr>
          <w:rFonts w:ascii="arial" w:eastAsia="arial" w:hAnsi="arial" w:cs="arial"/>
          <w:color w:val="000000"/>
          <w:sz w:val="20"/>
          <w:lang w:val="en-US" w:eastAsia="en-US" w:bidi="ar-SA"/>
        </w:rPr>
        <w:t xml:space="preserve"> at para. 54, </w:t>
      </w:r>
      <w:r>
        <w:rPr>
          <w:rFonts w:ascii="arial" w:eastAsia="arial" w:hAnsi="arial" w:cs="arial"/>
          <w:i/>
          <w:color w:val="000000"/>
          <w:sz w:val="20"/>
          <w:lang w:val="en-US" w:eastAsia="en-US" w:bidi="ar-SA"/>
        </w:rPr>
        <w:t>Moore Realty Inc</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[2003] M.J. No. 191</w:t>
        </w:r>
      </w:hyperlink>
      <w:r>
        <w:rPr>
          <w:rFonts w:ascii="arial" w:eastAsia="arial" w:hAnsi="arial" w:cs="arial"/>
          <w:color w:val="000000"/>
          <w:sz w:val="20"/>
          <w:lang w:val="en-US" w:eastAsia="en-US" w:bidi="ar-SA"/>
        </w:rPr>
        <w:t xml:space="preserve"> . at para. 19, and </w:t>
      </w:r>
      <w:r>
        <w:rPr>
          <w:rFonts w:ascii="arial" w:eastAsia="arial" w:hAnsi="arial" w:cs="arial"/>
          <w:i/>
          <w:color w:val="000000"/>
          <w:sz w:val="20"/>
          <w:lang w:val="en-US" w:eastAsia="en-US" w:bidi="ar-SA"/>
        </w:rPr>
        <w:t>Prenn v. Simmonds</w:t>
      </w:r>
      <w:r>
        <w:rPr>
          <w:rFonts w:ascii="arial" w:eastAsia="arial" w:hAnsi="arial" w:cs="arial"/>
          <w:color w:val="000000"/>
          <w:sz w:val="20"/>
          <w:lang w:val="en-US" w:eastAsia="en-US" w:bidi="ar-SA"/>
        </w:rPr>
        <w:t xml:space="preserve"> at p. 240.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Doherty J.A. explains this in the case of </w:t>
      </w:r>
      <w:r>
        <w:rPr>
          <w:rFonts w:ascii="arial" w:eastAsia="arial" w:hAnsi="arial" w:cs="arial"/>
          <w:i/>
          <w:color w:val="000000"/>
          <w:sz w:val="20"/>
          <w:lang w:val="en-US" w:eastAsia="en-US" w:bidi="ar-SA"/>
        </w:rPr>
        <w:t>Dumbrell v. The Regional Group of Companies Inc</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(2007), 85 O.R. (3d) 616</w:t>
        </w:r>
      </w:hyperlink>
      <w:r>
        <w:rPr>
          <w:rFonts w:ascii="arial" w:eastAsia="arial" w:hAnsi="arial" w:cs="arial"/>
          <w:color w:val="000000"/>
          <w:sz w:val="20"/>
          <w:lang w:val="en-US" w:eastAsia="en-US" w:bidi="ar-SA"/>
        </w:rPr>
        <w:t xml:space="preserve"> (C.A.) (at para. 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when interpreting written contracts, at least in the context of commercial relationships, it is not helpful to frame the analysis in terms of the subjective intention of the parties at the time the contract was drawn. This is so for at least two reasons. First, emphasis on subjective intention denudes the contractual arrangement of the certainty that reducing an arrangement to writing was intended to achieve. This is particularly important where, as is often the case, strangers to the contract must rely on its terms. They have no way of discerning the actual intention of the parties, but must rely on the intent expressed in the written words. Second, many contractual disputes involve issues on which there is no common subjective intention between the parties. Quite simply, the answer to what the parties intended at the time they entered into the contract will often be that they never gave it a moment's thought until it became a problem: see Kim Lewison, </w:t>
      </w:r>
      <w:r>
        <w:rPr>
          <w:rFonts w:ascii="arial" w:eastAsia="arial" w:hAnsi="arial" w:cs="arial"/>
          <w:i/>
          <w:color w:val="000000"/>
          <w:sz w:val="20"/>
          <w:lang w:val="en-US" w:eastAsia="en-US" w:bidi="ar-SA"/>
        </w:rPr>
        <w:t>The Interpretation of Contracts</w:t>
      </w:r>
      <w:r>
        <w:rPr>
          <w:rFonts w:ascii="arial" w:eastAsia="arial" w:hAnsi="arial" w:cs="arial"/>
          <w:color w:val="000000"/>
          <w:sz w:val="20"/>
          <w:lang w:val="en-US" w:eastAsia="en-US" w:bidi="ar-SA"/>
        </w:rPr>
        <w:t>, 3rd ed. (London: Sweet &amp; Maxwell, 2004) at 18-31.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So, generally, the factual matrix will include, among other things: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of the commercial purpose of the contract, its aims and objectives: </w:t>
      </w:r>
      <w:r>
        <w:rPr>
          <w:rFonts w:ascii="arial" w:eastAsia="arial" w:hAnsi="arial" w:cs="arial"/>
          <w:i/>
          <w:color w:val="000000"/>
          <w:sz w:val="20"/>
          <w:lang w:val="en-US" w:eastAsia="en-US" w:bidi="ar-SA"/>
        </w:rPr>
        <w:t>Langley Lo-Cost Builders Ltd. v. 474835 B.C. Ltd.</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2000 BCCA 365</w:t>
        </w:r>
      </w:hyperlink>
      <w:r>
        <w:rPr>
          <w:rFonts w:ascii="arial" w:eastAsia="arial" w:hAnsi="arial" w:cs="arial"/>
          <w:color w:val="000000"/>
          <w:sz w:val="20"/>
          <w:lang w:val="en-US" w:eastAsia="en-US" w:bidi="ar-SA"/>
        </w:rPr>
        <w:t xml:space="preserve"> at para. 29, </w:t>
      </w:r>
      <w:hyperlink r:id="rId597" w:history="1">
        <w:r>
          <w:rPr>
            <w:rFonts w:ascii="arial" w:eastAsia="arial" w:hAnsi="arial" w:cs="arial"/>
            <w:i/>
            <w:color w:val="0077CC"/>
            <w:sz w:val="20"/>
            <w:u w:val="single"/>
            <w:shd w:val="clear" w:color="auto" w:fill="FFFFFF"/>
            <w:lang w:val="en-US" w:eastAsia="en-US" w:bidi="ar-SA"/>
          </w:rPr>
          <w:t>[2000] 7 W.W.R. 46</w:t>
        </w:r>
      </w:hyperlink>
      <w:r>
        <w:rPr>
          <w:rFonts w:ascii="arial" w:eastAsia="arial" w:hAnsi="arial" w:cs="arial"/>
          <w:color w:val="000000"/>
          <w:sz w:val="20"/>
          <w:lang w:val="en-US" w:eastAsia="en-US" w:bidi="ar-SA"/>
        </w:rPr>
        <w: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of the nature or custom of the market or industry in which the contract was executed: </w:t>
      </w:r>
      <w:r>
        <w:rPr>
          <w:rFonts w:ascii="arial" w:eastAsia="arial" w:hAnsi="arial" w:cs="arial"/>
          <w:i/>
          <w:color w:val="000000"/>
          <w:sz w:val="20"/>
          <w:lang w:val="en-US" w:eastAsia="en-US" w:bidi="ar-SA"/>
        </w:rPr>
        <w:t>Kentucky Fried Chicken Canada v. Scott's Food Services Inc</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(1998), 41 B.L.R. (2d) 42</w:t>
        </w:r>
      </w:hyperlink>
      <w:r>
        <w:rPr>
          <w:rFonts w:ascii="arial" w:eastAsia="arial" w:hAnsi="arial" w:cs="arial"/>
          <w:color w:val="000000"/>
          <w:sz w:val="20"/>
          <w:lang w:val="en-US" w:eastAsia="en-US" w:bidi="ar-SA"/>
        </w:rPr>
        <w:t xml:space="preserve"> (Ont. C.A.); and</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the objective intention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not,</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the subjective intention of the parties;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the negotiations;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the subsequent conduct of the parties after the contract was entered into.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In summary, when interpreting a contract, the court's search for the intention of the parties is aided by reference to the surrounding circumstances or factual matrix at the time of the execution of the contract as viewed objectively by a reasonable person at the time of the signing of the contract. See Fridman at p. 478; </w:t>
      </w:r>
      <w:r>
        <w:rPr>
          <w:rFonts w:ascii="arial" w:eastAsia="arial" w:hAnsi="arial" w:cs="arial"/>
          <w:i/>
          <w:color w:val="000000"/>
          <w:sz w:val="20"/>
          <w:lang w:val="en-US" w:eastAsia="en-US" w:bidi="ar-SA"/>
        </w:rPr>
        <w:t>MacMillan Bloedel Ltd. v. British Columbia Hydro &amp; Power Authority</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[1993] 2 W.W.R. 127</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Moore Realty Inc.</w:t>
      </w:r>
      <w:r>
        <w:rPr>
          <w:rFonts w:ascii="arial" w:eastAsia="arial" w:hAnsi="arial" w:cs="arial"/>
          <w:color w:val="000000"/>
          <w:sz w:val="20"/>
          <w:lang w:val="en-US" w:eastAsia="en-US" w:bidi="ar-SA"/>
        </w:rPr>
        <w:t>, Hamilton J.A.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interpretation exercise, the B.C. Court of Appeal commented similarly about the use to be made of "surrounding circumstances" and "factual matrix" in </w:t>
      </w:r>
      <w:r>
        <w:rPr>
          <w:rFonts w:ascii="arial" w:eastAsia="arial" w:hAnsi="arial" w:cs="arial"/>
          <w:i/>
          <w:color w:val="000000"/>
          <w:sz w:val="20"/>
          <w:lang w:val="en-US" w:eastAsia="en-US" w:bidi="ar-SA"/>
        </w:rPr>
        <w:t>Langley Lo-Cost Builders Ltd. v. 474835 Ltd.</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2000 BCCA 365</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In considering this question it is important to remember that negotiations between the parties are not relevant in determining the meaning of the language used by the parties. This is because parties often change their views and positions during negotiations. The fact that the parties were in negotiations, and the reasons for these negotiations, however, including the commercial objectives of the parties is relevant as a part of the factual matrix, or factual underpinning of the agreement [citation omitted].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To determine the parties' intentions, the above authorities suggest that the court can consider evidence of the commercial purpose of the contract and its aims and objectives; evidence of the nature of the industry in which the contract was executed; and evidence of the objective intention of the parties. The court should not consider the subjective intention of the parties or evidence of negotiations.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Interpretative tools where there is an ambiguity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If the Policy is found to be ambiguous then the court is to use general rules of contract construction to resolve that ambiguity. The Supreme Court of Canada in </w:t>
      </w:r>
      <w:r>
        <w:rPr>
          <w:rFonts w:ascii="arial" w:eastAsia="arial" w:hAnsi="arial" w:cs="arial"/>
          <w:i/>
          <w:color w:val="000000"/>
          <w:sz w:val="20"/>
          <w:lang w:val="en-US" w:eastAsia="en-US" w:bidi="ar-SA"/>
        </w:rPr>
        <w:t>Ledcor Construction Ltd. v. Northbridge Indemnity Insurance Co.</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2016 SCC 37</w:t>
        </w:r>
      </w:hyperlink>
      <w:r>
        <w:rPr>
          <w:rFonts w:ascii="arial" w:eastAsia="arial" w:hAnsi="arial" w:cs="arial"/>
          <w:color w:val="000000"/>
          <w:sz w:val="20"/>
          <w:lang w:val="en-US" w:eastAsia="en-US" w:bidi="ar-SA"/>
        </w:rPr>
        <w:t xml:space="preserve"> provided, at paras. 50-52: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Where, however, the policy's language is ambiguous, general rules of contract construction must be employed to resolve that ambiguity. These rules include that the interpretation should be consistent with the reasonable expectations of the parties, as long as that interpretation is supported by the language of the policy; it should not give rise to results that are unrealistic or that the parties would not have contemplated in the commercial atmosphere in which the insurance policy was contracted, and it should be consistent with the interpretations of similar insurance policies. See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23, citing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paras. 26-27; and </w:t>
      </w:r>
      <w:r>
        <w:rPr>
          <w:rFonts w:ascii="arial" w:eastAsia="arial" w:hAnsi="arial" w:cs="arial"/>
          <w:i/>
          <w:color w:val="000000"/>
          <w:sz w:val="20"/>
          <w:lang w:val="en-US" w:eastAsia="en-US" w:bidi="ar-SA"/>
        </w:rPr>
        <w:t>Consolidated-Bathurst Export Ltd. v. Mutual Boiler and Machinery Insurance Co.</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at pp. 900-902.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Only if ambiguity still remains after the above principles are applied can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be employed to construe the policy against the insurer: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24, citing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25; and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at pp. 899-901.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provides that a corollary of this rule is that coverage provisions in insurance policies are interpreted broadly, and exclusion clauses narrowly.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It is also important to bear in mind this Court's guidance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on the "generally advisable" order in which to interpret insurance policies (para. 28). Although that case involved commercial general liability policies and not builders' risk policies, the two types of policies share a similar alternating structure: they set out the type of coverage followed by specific exclusions, with some exclusions containing exceptions. As such, the insured has the onus of first establishing that the damage or loss claimed falls within the initial grant of coverage. The parties in these appeals have conceded that this particular onus has been met: trial judge's reasons, at para. 9. The onus then shifts to the insurer to establish that one of the exclusions to coverage applies. If the insurer is successful at this stage, the onus then shifts back to the insured to prove that an exception to the exclusion applies: see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at paras. 26-29 and 51. Contrary to the Court of Appeal's statement at para. 26 of its reasons that the exclusion and exception in this case must be interpreted "symbiotically", I see no reason to depart from the generally accepted order of interpretation in analyzing the Policy and 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Given that the Respondents were the drafter of the Policy, it is uncontroversial that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would work against them, thereby further supporting the broad interpretations put forth by Surespan.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Rectification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their submissions, the Petitioners included authorities about the equitable remedy of rectification and what is required to rectify an agreement. However, the Respondents unequivocally asserted that they were not seeking to rectify the Policy. As I understand the submission, the Respondents stated they were not seeking rectification because it was unnecessary stating: "there is clear evidence of the underwriting file, coupled with the clear conflict between these two clauses, the clear statements between Aon and Mr. Thompson [an underwriter employed with the Respondents] and the evidence of Mr. Thompson that Clause 3 was left in through inadvertence". As such, the Respondents contend that Clause 3 can be ignored "because the Supreme Court of Canada authorities allow for a review of surrounding circumstances that requires an interpretation of the Policy consistent with the commercial terms that were agreed at the time of the negotiation, which is Clause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circumstances and in light of the Respondents' position, it would not be appropriate to embark on an analysis regarding rectification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deal first with the Petitioners' objection regarding the admissibility and/or use to be made of extrinsic evidence tendered by the Respondents. The objectionable evidence is found, for the most part, in the exhibits attached to the Affidavit of Scott Pidduck, filed November 1, 2017, and the Affidavit of Jamie Thompson, filed November 28, 2017. The Petitioners submit: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The extrinsic evidence adduced by the Respondents is not admissible to interpret the terms of the Policy and ought not to be considered. Only in the event of an ambiguity would extrinsic evidence be admissible and there is no ambiguity here. Even if there was an ambiguity, much of the evidence led by the Respondents is still inadmissible or should be given no weight, and the evidence of negotiations is unreliable. Asserted facts are set out and relied on in the Insurers' Petition Response. Surespan says that there is no admissible or reliable evidence, include[ing] without limitation paras. 1-3, 5-6, 7, 9-13, 14, 15, 17-18, 20, 21, and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authorities cited above, I agree that it would be impermissible for the court, in the circumstances presented here, to use the evidence of negotiation for anything beyond the fact that the parties were in negotiations. As such, and in these reasons, I have referenced some of the evidence specified in the preceding paragraph. However, I have used the evidence solely for the purpose of demonstrating that the Respondents negotiated the terms of the Policy over several months and then issued the formal Policy. In other words, this evidence does not affect the interpretation of the language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turn to the court's interpretation of the Policy and, in particular, whether the Petitioners are insureds under the terms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Clauses 1 and 2 of the definitions in the Policy deal with the first named insured and the named insured and they are specifically listed in the Schedule of the Policy. Clauses 3 through 6 of the definitions in the Policy then address those who may not specifically be named in the Policy, but are nonetheless covered as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Clause 3 in the Policy states that it provides coverage to: "Any other firm(s) which have or will have provided professional services in regards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definition of professional services relates to those services as described in the Application Form. The Application Form describes the Parkades as falling within the scope of work to be insured under the Policy. The Parkades are specified in a list of "high risk work types" to be undertaken in respect of the Project. In addition, the notation "two parkades" was handwritten on the Application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Moreover, the type of the professional services performed by the Petitioners were expressly contemplated in the Application Form which describes the scope of professional services and the associated gross fees to be performed on the Project. These included work in the nature of what the Petitioners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Clause 3, on its plain reading, provides coverage for firms that provide professional services (which would thus include design and construction of the parkades) with respect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Notably, the Respondents did not raise any issue with respect to any ambiguity in the wording of Clause 3. Consistent with their position that Clause 3 be ignored, the Respondents do not suggest that the Petitioners do not fall within the definition of insured in Clause 3. In their denial letter, the Respondents, noting Clause 5 only, deny the claim on the basis that the Petitioners do not fit the definition of Insured. In the denial letter, the Respondents did not state that Clause 3 had been included in the Policy in error or by inadvertence.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dispute as to the nature of the work performed by the Petitioners. I accept that Surespan contracted with Graham to perform the design (and construction) work for the precast concrete parkade structures forming part of the Project. Surespan contracted with HGS to provide the structural design of the precast components for the parkades. The work performed by both Petitioners constituted professional services, as defined in the Policy, and these professional services were both part of or incidental to the Petitioners' business as building (Surespan) and engineering (HGS)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Importantly, the professional services provided by the Petitioners were a component of services contemplated in the Application Form. The Application Form specifically references parkades.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do not accept the Respondents' position that it was not the parties' intention to include Clause 3 and Clause 5 and that Clause 3 was included in the Policy in error. In this regard, on a plain reading of the Policy, Clause 5, unlike Clause 3, does not include the defined term of "professional services". Clause 5 suggests that coverage could be provided here for professional services performed on the Project other than those described in the Application Form. As HGS submits, and which I accept, this is consistent with Clause 5 requiring the insurer to be informed of and accept the details of the additional professional services to be provided before it agrees to provide coverage, including the details of the services to be provided, by whom, the date on which the firm is to commence the provision of services, and the associated professional fees. Clause 5 would allow the insurer to insure additional professional services (not a defined term in Clause 5) beyond the original scope of the professional services contemplated for the Project as set out in the Application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the interpretation issue before this court, I am satisfied that the language in the Policy generally and Clause 3 specifically is unambiguous. The Petitioners fall within the parameters of this part of the definition of an insured which does not require that it be specifically named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do not accept the Respondents' submission that Clause 3 results in a windfall recovery. The Clause 3 definition of an insured is tied to the definition of professional services, which limits the scope of professional services covered by the Policy to those "specifically described in the application which the insured is legally qualified to perform". The Application Form details the scope of the professional services to be performed on the Project, including the associated fees. Therefore, the scope of coverage is limited by the nature of the professional services to be performed as part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accept the Petitioners' submission that Clause 3 and Clause 5 of the definition can be read harmoniously. To fall within the definition of professional services (and Clause 3) the professional services must have been described (as they were including details of the type of professional work and the associated costs) in the Application Form. As the Petitioners suggest, and I agree, it would be redundant if Clause 5 required every firm performing professional services on the Project, including those performing services specifically contemplated in the Application Form (as the parkades were and the associated professional fees had already been provided to the Respondents), had to be accepted by the Respondents before coverage was afforded.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summary, I am satisfied that when reading the Policy as a whole, the meaning of insured is clear and unambiguous in the circumstances presented here. As such, the court is required to give effect to the ordinary meaning of the words used because that is what the parties are taken to have agreed to by their contract. While I have considered the surrounding circumstances giving rise to the Policy and its terms, I decline the Respondents' invitation to simply ignore Clause 3 in the interpretative exercise. Based on the materials before me, it is my view that to do so would have the court use the surrounding circumstances to "deviate from the text such that the court effectively creates a new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Further, the Respondents' position is tantamount to creating an ambiguity where none exists. I do not accept the Respondents' submission that their interpretation (that Clause 5 stands alone) reflects the reasonable expectations of the parties. I am satisfied that this interpretation, limiting coverage to only those entities specifically named in the Policy, is not supported by the wording of the Policy as a whole. The court may resort to the doctrine of reasonable expectations so long as such an interpretation can be supported by the text of the Policy. I agree with the Petitioners that the Respondents' coverage position is not supported by the words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am satisfied that the language of the Policy is unambiguous in the circumstances presented here. As such, the court grants the relief sought by the Petitioners: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Surespan and HGS are each an insured as defined in Professional Liability Policy No. SPR010778 issued and underwritten by the Respondents;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on or before January 30, 2017, the Respondents received a notice of claim and a claim for coverage under the Policy from the Petitioners;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Respondents, having received the notice of claim, are required to provide the Respondents' written position on coverage and the reasons for it, and pay all covered claims within sixty days of the date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Petitioners will have their costs of the Petitions, subject to there being any agreement which would negate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WINTERINGHAM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Tang v. Rodgers, [2011] B.C.J. No. 144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14 and 15,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M082360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144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123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197 A.C.W.S. (3d) 553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CarswellBC 151</w:t>
      </w:r>
    </w:p>
    <w:p>
      <w:pPr>
        <w:spacing w:before="120" w:line="260" w:lineRule="atLeast"/>
        <w:rPr>
          <w:lang w:val="en-US" w:eastAsia="en-US" w:bidi="ar-SA"/>
        </w:rPr>
      </w:pPr>
      <w:r>
        <w:rPr>
          <w:rFonts w:ascii="arial" w:eastAsia="arial" w:hAnsi="arial" w:cs="arial"/>
          <w:color w:val="000000"/>
          <w:sz w:val="20"/>
          <w:lang w:val="en-US" w:eastAsia="en-US" w:bidi="ar-SA"/>
        </w:rPr>
        <w:t>Between Pang Chu Tang, Plaintiff, and Daniel Allan Rodgers and Ashleigh-Ann Dionne McLean,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2" style="position:absolute;z-index:2516910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9" w:name="Keywords_31"/>
      <w:bookmarkEnd w:id="199"/>
      <w:r>
        <w:rPr>
          <w:rFonts w:ascii="arial" w:eastAsia="arial" w:hAnsi="arial" w:cs="arial"/>
          <w:b/>
          <w:color w:val="000000"/>
          <w:sz w:val="20"/>
          <w:lang w:val="en-US" w:eastAsia="en-US" w:bidi="ar-SA"/>
        </w:rPr>
        <w:t xml:space="preserve">Transportation law — Motor vehicles and highway traffic — Care and control of vehicle — Proper lookout — Meeting, overtaking and passing — Turns — Signalling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motorist for damages resulting from motor vehicle accident allowed in part — Plaintiff's vehicle struck on passenger side as he made right turn into driveway from roadway which was single lane in either direction — Plaintiff was negligent as he turned on right turn signal immediately before making turn and turned without checking traffic — Defendant driver negligent in passing on right without ensuring it was safe to do so — As defendant driver's fault greater than plaintiff's, fault apportioned 75 per cent to defendant driver and 25 per cent to plaintiff.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0" w:name="Case Summary_28"/>
            <w:bookmarkEnd w:id="20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a motorist for damages resulting from a motor vehicle accident. The plaintiff was driving westbound on his street intending to turn right into the driveway of his residence. The plaintiff slowed and turned into his driveway and, as he did so, he was struck on the passenger side by the defendant vehicle as the defendant driver attempted to pass him on the right side. The defendant driver did not honk or issue any other warning to indicate that he intended to pass to the right. The defendants alleged that the plaintiff slowed down, signalled left and moved to the left, which gave the defendant driver room to move to the right and pass. The road was a single lane in each direction, with room for parking on the right side. There were concrete barriers dividing the east and westbound lanes along part of the road and after the concrete barriers ended there was no place to turn left and no way to turn left legally. The only issue to be determined was liability. Each party submitted that the other was entir ely to blame for the accident. </w:t>
            </w:r>
            <w:r>
              <w:rPr>
                <w:lang w:val="en-US" w:eastAsia="en-US" w:bidi="ar-SA"/>
              </w:rPr>
              <w:cr/>
            </w:r>
          </w:p>
          <w:p>
            <w:pPr>
              <w:spacing w:before="120" w:line="260" w:lineRule="atLeast"/>
              <w:ind w:left="240"/>
              <w:jc w:val="both"/>
              <w:rPr>
                <w:lang w:val="en-US" w:eastAsia="en-US" w:bidi="ar-SA"/>
              </w:rPr>
            </w:pPr>
            <w:bookmarkStart w:id="201" w:name="Holdings of Court_23"/>
            <w:bookmarkEnd w:id="201"/>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turned on his right turn signal immediately before making his turn, and he turned without checking over his shoulder to see what traffic was behind him or to see what was on his right side. Had the plaintiff been more attentive, he would not have turned right as he did. The defendant driver was negligent in passing on the right without ensuring it was safe to do so. Consequently, both parties were negligent. However, as the defendants' fault was greater than the plaintiff's, fault was apportioned 75 per cent to the defendant and 25 per cent to the plaintiff. </w:t>
            </w:r>
            <w:r>
              <w:rPr>
                <w:lang w:val="en-US" w:eastAsia="en-US" w:bidi="ar-SA"/>
              </w:rPr>
              <w:cr/>
            </w:r>
          </w:p>
          <w:p>
            <w:pPr>
              <w:rPr>
                <w:lang w:val="en-US" w:eastAsia="en-US" w:bidi="ar-SA"/>
              </w:rPr>
            </w:pPr>
          </w:p>
        </w:tc>
      </w:tr>
    </w:tbl>
    <w:p>
      <w:pPr>
        <w:jc w:val="both"/>
        <w:rPr>
          <w:lang w:val="en-US" w:eastAsia="en-US" w:bidi="ar-SA"/>
        </w:rPr>
      </w:pPr>
      <w:bookmarkStart w:id="202" w:name="Legislation Cited_13"/>
      <w:bookmarkEnd w:id="20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3" style="position:absolute;z-index:2517422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609" w:history="1">
        <w:r>
          <w:rPr>
            <w:rFonts w:ascii="arial" w:eastAsia="arial" w:hAnsi="arial" w:cs="arial"/>
            <w:i/>
            <w:color w:val="0077CC"/>
            <w:sz w:val="20"/>
            <w:u w:val="single"/>
            <w:shd w:val="clear" w:color="auto" w:fill="FFFFFF"/>
            <w:lang w:val="en-US" w:eastAsia="en-US" w:bidi="ar-SA"/>
          </w:rPr>
          <w:t>RSBC 1996, CHAPTER 318, s. 158</w:t>
        </w:r>
      </w:hyperlink>
      <w:r>
        <w:rPr>
          <w:rFonts w:ascii="arial" w:eastAsia="arial" w:hAnsi="arial" w:cs="arial"/>
          <w:color w:val="000000"/>
          <w:sz w:val="20"/>
          <w:lang w:val="en-US" w:eastAsia="en-US" w:bidi="ar-SA"/>
        </w:rPr>
        <w:t>, s. 167</w:t>
      </w:r>
      <w:r>
        <w:rPr>
          <w:lang w:val="en-US" w:eastAsia="en-US" w:bidi="ar-SA"/>
        </w:rPr>
        <w:cr/>
      </w:r>
    </w:p>
    <w:p>
      <w:pPr>
        <w:keepNext/>
        <w:spacing w:before="240" w:line="340" w:lineRule="atLeast"/>
        <w:rPr>
          <w:lang w:val="en-US" w:eastAsia="en-US" w:bidi="ar-SA"/>
        </w:rPr>
      </w:pPr>
      <w:bookmarkStart w:id="203" w:name="Counsel_31"/>
      <w:bookmarkEnd w:id="20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4" style="position:absolute;z-index:2517934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S.C.M. Yung, D.O. Shane.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M.D. Wilhelmson.</w:t>
      </w:r>
      <w:r>
        <w:rPr>
          <w:lang w:val="en-US" w:eastAsia="en-US" w:bidi="ar-SA"/>
        </w:rPr>
        <w:cr/>
      </w:r>
    </w:p>
    <w:p>
      <w:pPr>
        <w:spacing w:after="240"/>
        <w:rPr>
          <w:lang w:val="en-US" w:eastAsia="en-US" w:bidi="ar-SA"/>
        </w:rPr>
      </w:pPr>
      <w:bookmarkStart w:id="204" w:name="Judgment_31"/>
      <w:bookmarkEnd w:id="204"/>
      <w:r>
        <w:pict>
          <v:line id="_x0000_s1175" style="position:absolute;z-index:2518446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5" w:name="B. BROWN J."/>
            <w:bookmarkEnd w:id="205"/>
            <w:r>
              <w:rPr>
                <w:rFonts w:ascii="arial" w:eastAsia="arial" w:hAnsi="arial" w:cs="arial"/>
                <w:b/>
                <w:color w:val="000000"/>
                <w:sz w:val="30"/>
                <w:lang w:val="en-US" w:eastAsia="en-US" w:bidi="ar-SA"/>
              </w:rPr>
              <w:t>B. BROWN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claim arises from a motor vehicle accident which occurred on August 16, 2006 near the intersection of 33rd Avenue and Commercial Drive in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am to determine only liability with respect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Mr. Tang, says that he was driving westbound on 33rd Avenue intending to turn right into the driveway of his residence. 33rd Avenue, at the location where the accident occurred, has one travel lane going each direction. It is a wide road with enough space to allow vehicles to park to the right of the travel lane. The plaintiff slowed and turned into his driveway. As he did so, his vehicle was struck on the passenger side by the defendant vehicle. The defendant driver was attempting to pass the plaintiff on the right. The defendant driver did not honk or issue any other warning to indicate that he intended to pass to the right. The plaintiff says that the defendants are 100% at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Mr. Rodgers and Ms. McLean, argue that the plaintiff is entirely to blame for the accident. They say that he slowed down, signalled left and moved left in the travel lane. This gave the defendant driver, Mr. Rodgers, the right to move to the right and pass, which he attempted to do. The plaintiff suddenly turned right, colliding with the defendant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EVIDENCE OF THE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Tang testified that on August 16, 2006 at 7:00 a.m. he had just finished his shift at work and was driving home. It was a fine day. His house faces onto 33rd Avenue; the entrance to the driveway is from 33rd Avenue. He had lived in that residence for approximately three months. He drove north along Victoria Drive to 33rd Avenue and turned left (or west) onto 33rd Avenue. Just after he crossed Beatrice Street, he turned his right signal on. He looked to his rear view mirror and saw a vehicle coming down 33rd Avenue from Victoria Drive. He started slowing down and passed the last vehicle parked in the parking lane on the right side of the road. He looked to his right side mirror to check for bicycles. He also looked at the sidewalk. He saw no pedestrians, bicycles or vehicles. He passed the alley and slowly turned towards his driveway. He was travelling at approximately 15 kilometres per hour. As the front of his vehicle entered onto the sidewalk, his vehicle was struck on the passenger side. Mr. Tang was adamant that his left turn signal had turned off automatically after he completed his turn from Victoria Drive onto 33rd Avenue. He said that his right turn signal was on from the time just after he passed Beatrice Street until the time he turned right to enter his driveway. He said that he had been driving approximately three feet from the centre line and approximately four feet from the cars parked to his right before he started his right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Gerald Korec was driving a Pontiac minivan, four cars back from Mr. Tang's vehicle on 33rd Avenue. There was a grade downhill from Victoria Drive heading west on 33rd Avenue, which permitted him to see the cars ahead of him clearly. He said that Mr. Tang's vehicle slowed down and that Mr. Tang put on his left turn signal. He considered that strange and started paying attention because there was no place for Mr. Tang to turn to the left. Mr. Tang moved over, hugging the yellow line and slowed and increased his speed in spurts. He came to a near stop and all of the vehicles behind Mr. Tang pulled to the right to go around him. Then Mr. Tang put on his right turn signal, immediately before turning right. He did not shoulder check before doing so. The Rodgers vehicle was almost beside the Tang vehicle when Mr. Tang turned. Mr. Rodgers had no time to stop. The two cars between the Rodgers vehicle and Mr. Korec's vehicle were not involved and left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cross-examination, Mr. Korec conceded that he was upset with Mr. Tang at the scene. He acknowledged that it was possible that he raised his voice at Mr. Tang. He conceded that he spoke with someone at ICBC and told them that they should "yank" Mr. Tang's license. Mr. Korec acknowledged that it was possible that he had not seen a left turn signal on the Tang vehicle. He was adamant that he did not see Mr. Tang shoulder check to the right before turning to the right. Mr. Korec was of the view that the right turn signal was on for possibly one click before Mr. Tang turned to the right. He thought that the speed of the Rodgers vehicle was 20 - 30 kilometres per hour, possibly a little faster, when Mr. Tang turned his vehicle to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Ashleigh-Ann McLean was the front seat passenger in the defendant vehicle. She was the registered owner of the vehicle. Her boyfriend, Daniel Rodgers, was driving the vehicle. As they crossed Victoria Drive on 33rd Avenue, the car in front of them signalled a left turn, then slowed, then continued on. He stopped with his left signal on, as if he were confused, for approximately two minutes. She said that the cars behind Mr. Tang were honking and that she and her boyfriend decided to go around Mr. Tang's vehicle to the right. They were about mid-point along Mr. Tang's vehicle when suddenly Mr. Tang pulled in front of them. Mr. Rodgers hit the brakes and honked. They were stopped when Mr. Tang's vehicle collided with the front of her vehicle and dragged her vehicle to the curb.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cross-examination she said that she believed that Mr. Tang's left turn signal was on for approximately four minutes, including during the time that they spent waiting behind Mr. Tang after he brought his vehicle to a full stop. She said that it came on at Beatrice Street and that she did not see it go off until the right turn signal came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was asked if she made a statement to ICBC. She did not remember doing so, but acknowledged her signature on the written statement when put to her. She said that she would have read the statement before signing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Rodgers testified that he was driving Ms. McLean's car. At around Beatrice Street he saw the car in front of him put on its left turn signal and slow down, intermittently tapping the brakes. The traffic behind Mr. Rodgers was crawling and Mr. Rodgers wondered what the vehicle in front of him was doing. That vehicle was quite far to the left and there was nowhere for it to turn to the left. He wondered if the driver intended to complete a u-turn. They were travelling at approximately 10 kilometres per hour. Mr. Rodgers concluded that the other driver did not know what he was doing, so Mr. Rodgers started to go around the car, passing on the right. The cars behind started to follow. Mr. Rodgers accelerated to pass. When Mr. Rodgers was approximately mid-span of the other vehicle, it suddenly turned to the right. Mr. Rodgers screeched to a stop and Mr. Tang's vehicle collided with the Rodgers vehicle. Mr. Tang's vehicle continued on and pushed the Rodgers vehicle until it struck the curb. Mr. Rodgers estimated the speed of Mr. Tang's right turn at approximately 10 kilometres per hour. He thought that he was travelling at approximately 20 kilometres per hour as he passed on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Mr. Rodgers acknowledged the statement that he had given to ICBC. He said that he "sort of reviewed it" at the time. He did not review it thoroughly before signing it. Mr. Rodgers said that the Tang vehicle was travelling at about 10 kilometres per hour when Mr. Rodgers pulled to the right to pass it. The Tang vehicle was not stopped and had not been stopped before he moved to go around. He said that the left turn signal had been on since Beatrice Street. Mr. Rodgers said that he did not honk before he moved to pass on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Leslie Synhurst also gave evidence. She has been a bodily injury adjuster at ICBC for 21 years. She took a statement from the defendants and spoke by telephone with Mr. Korec. She said that her practice is to first ask people to describe the events of the accident. She then takes a statement from them and walks them through it line by line. She makes the individuals read it and then makes any changes to it before they sign. She has no recollection of the statement that she took from Mr. Rodgers and Ms. McLean, but she signed the statement and there is no reason for her to think that she did not follow her usual practice.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their statement, Mr. Rodgers and Ms. McLean say nothing about Mr. Tang signalling left before the collision. They say: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Suddenly, without warning the vehicle in front slammed on his brakes. I had only enough time to slam on my brakes and swerve to the right. I knew the fellow behind me was quite close and I did not want to get hit. It seemed the best thing to do to avoid an accident. ... The vehicle in front had not signalled a turn nor gave me any indication he was turning. He just stopped very suddenly.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Synhurst said that she received a call from Mr. Korec. They discussed the motor vehicle accident and she took notes of their conversation. He did not say that Mr. Tang had been signalling left before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33rd Avenue west of Victoria Drive is initially a two-lane street on the westbound portion. After a laneway mid-way along the block to the west, 33rd Avenue becomes a one lane roadway westbound. It remains a wide street with sufficient room to the right for parking. There are concrete barriers dividing the westbound and eastbound lanes on 33rd Avenue until mid-way past Beatrice Street, which is the first street west of Victoria Drive. The concrete barriers end shortly before the next laneway, which is approximately 24 feet before the driveway to Mr. Tang's residence. After the concrete barriers end, there is a solid yellow line dividing the westbound and eastbound traffic on 33rd Avenue. To the south on 33rd Avenue, the block is solid, without streets or laneways after the concrete barriers end. Accordingly, for a vehicle travelling westbound, there is no place to turn left to and no way to turn left legally.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after Mr. Tang turned left from Victoria Drive onto 33rd Avenue, his left turn signal turned off automatically. As he drove along 33rd Avenue, he drove slowly, tapping his brakes from time to time. He crossed Beatrice Street and passed the laneway immediately before his residence. I find that he was close to the centre line and immediately before starting his right turn, turned on his right turn signal. He then turned without checking over his shoulder to see what traffic was behind him or to see what was to his right side. I find that he continued to drive forward even after his vehicle collided with the vehicle driven by Mr. Rodgers. I do not accept Mr. Tang's evidence that he had his right turn signal on the entire time after Beatrice Street. Had he done so, Mr. Rodgers would not have been confused as to Mr. Tang's intentions and Mr. Rodgers would not have been passing to the right. I accept the evidence of Mr. Rodgers, Ms. McLean and Mr. Korec, that the right turn signal came on immediately before Mr. Tang turned to the right. Had Mr. Tang been as attentive as he said he was, checking his rear view mirror, checking his right passenger mirror and shoulder checking, he would not have turned to the right as he did. He would have been aware of the traffic backed up behind him and would have seen Mr. Rodgers moving to the right to pass on his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also accept the evidence of Mr. Rodgers and Ms. McLean that Mr. Tang continued to drive forward even after their vehicles collided. I accept their evidence that the Tang vehicle pushed theirs to the curb and caused the right front passenger tire to flatten.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accept the evidence of Mr. Rodgers, Ms. McLean and Mr. Korec that Mr. Tang was signalling left after he crossed Beatrice Street. First, as I have indicated, there was nowhere to turn left. Second, Mr. Rodgers and Ms. McLean do not mention the left turn signal in the statement that they provided to ICBC on August 21, 2006. That the left turn signal was on would have been remarkable and an important factor to tell ICBC. I do not accept their evidence that they simply failed to advise ICBC of this point. Third, Mr. Korec acknowledged on cross-examination that he may not have been correct when he thought that the left turn signal was on. He did not mention a left turn signal when he spoke with ICBC on August 24,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accept Ms. McLean's evidence that Mr. Tang was stopped for some time before he turned right and that the cars behind them were honking. I accept the evidence of Mr. Tang, Mr. Korec and Mr. Rodgers that Mr. Tang did not stop his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158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prohibits passing to the right in most circumstances. Mr. Rodgers was negligent in passing on the right without ensuring that it was safe to do so. Mr. Tang was moving slowly in the travel lane when Mr. Rodgers decided to pass. Mr. Rodgers did not know what Mr. Tang was doing and thought he was confused. Mr. Rodgers took a significant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Tang was also negligent. Section 167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 that a driver of a vehicle must not turn the vehicle to the right from a highway at a place other than an intersection unless the driver causes the vehicle to approach the place as closely as practicable to the right hand curb or edge of the roadway. Mr. Tang did not do so. Rather, as some drivers do, he placed his vehicle to the left before turning right. His vehicle was not as close as practicable to the right hand curb or edge of the roadway. Second, Mr. Tang did not shoulder check or look to his right before turning right. Finally, Mr. Tang only turned his right turn signal on immediately before the accident, which was too late to give warning to those behind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circumstances of this case are very similar to the circumstances that were before Mr. Justice Curtis in </w:t>
      </w:r>
      <w:r>
        <w:rPr>
          <w:rFonts w:ascii="arial" w:eastAsia="arial" w:hAnsi="arial" w:cs="arial"/>
          <w:i/>
          <w:color w:val="000000"/>
          <w:sz w:val="20"/>
          <w:lang w:val="en-US" w:eastAsia="en-US" w:bidi="ar-SA"/>
        </w:rPr>
        <w:t>Boyes v. Mistal,</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[1990] B.C.J. No. 1755</w:t>
        </w:r>
      </w:hyperlink>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1990 CanLII 528</w:t>
        </w:r>
      </w:hyperlink>
      <w:r>
        <w:rPr>
          <w:rFonts w:ascii="arial" w:eastAsia="arial" w:hAnsi="arial" w:cs="arial"/>
          <w:color w:val="000000"/>
          <w:sz w:val="20"/>
          <w:lang w:val="en-US" w:eastAsia="en-US" w:bidi="ar-SA"/>
        </w:rPr>
        <w:t xml:space="preserve"> (SC), aff'd </w:t>
      </w:r>
      <w:hyperlink r:id="rId611" w:history="1">
        <w:r>
          <w:rPr>
            <w:rFonts w:ascii="arial" w:eastAsia="arial" w:hAnsi="arial" w:cs="arial"/>
            <w:i/>
            <w:color w:val="0077CC"/>
            <w:sz w:val="20"/>
            <w:u w:val="single"/>
            <w:shd w:val="clear" w:color="auto" w:fill="FFFFFF"/>
            <w:lang w:val="en-US" w:eastAsia="en-US" w:bidi="ar-SA"/>
          </w:rPr>
          <w:t>1992 CanLII 1954</w:t>
        </w:r>
      </w:hyperlink>
      <w:r>
        <w:rPr>
          <w:rFonts w:ascii="arial" w:eastAsia="arial" w:hAnsi="arial" w:cs="arial"/>
          <w:color w:val="000000"/>
          <w:sz w:val="20"/>
          <w:lang w:val="en-US" w:eastAsia="en-US" w:bidi="ar-SA"/>
        </w:rPr>
        <w:t xml:space="preserve"> (B.C.C.A.). There Mr. Justice Curtis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Mrs. Boyes did not give sufficient warning when she signalled. Like many drivers she signalled and turned almost simultaneously, too late to warn Mr. Mistal. Nor did Mrs. Boyes turn from as close as practicable to the right hand edge of the roadway, she turned when there was more than a car width to her right - thereby risking the sort of collision that did occur. Mrs. Boyes is at fault in the collision for these reasons.</w:t>
      </w:r>
    </w:p>
    <w:p>
      <w:pPr>
        <w:spacing w:before="120" w:line="260" w:lineRule="atLeast"/>
        <w:ind w:left="720"/>
        <w:rPr>
          <w:lang w:val="en-US" w:eastAsia="en-US" w:bidi="ar-SA"/>
        </w:rPr>
      </w:pPr>
      <w:r>
        <w:rPr>
          <w:rFonts w:ascii="arial" w:eastAsia="arial" w:hAnsi="arial" w:cs="arial"/>
          <w:color w:val="000000"/>
          <w:sz w:val="20"/>
          <w:lang w:val="en-US" w:eastAsia="en-US" w:bidi="ar-SA"/>
        </w:rPr>
        <w:t>I find Mr. Mistal's fault to be the greater. Mrs. Boyes was occupying the only lane of travel, she never left her lane, and had a right to be there. Mr. Mistal chose to pass Mrs. Boyes when she slowed down on the basis of what he assumed was happening. She had not signalled and Mr. Mistal should have known that in choosing to pass a vehicle which was obviously intending some maneuver not yet signalled, in its own lane, he was taking a significant risk. I find Mr. Mistal to be 75% at fault and Mrs. Boyes 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too, conclude that Mr. Rodgers' fault was the greater. I find Mr. Rodgers 75% at fault and Mr. Tang 25% at fault.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 BROWN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Webster v. Ernst &amp; Young, [2001] B.C.J. No. 1216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C961885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199 D.L.R. (4th) 763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963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851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J.M. Webster, A.B. Hudson, M.D. Akerly, G.A. Porteous and A.J. Coombe, plaintiffs, and Ernst &amp; Young, Alan Lary and Fred Yada,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7"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6" w:name="Keywords_32"/>
      <w:bookmarkEnd w:id="206"/>
      <w:r>
        <w:rPr>
          <w:rFonts w:ascii="arial" w:eastAsia="arial" w:hAnsi="arial" w:cs="arial"/>
          <w:b/>
          <w:color w:val="000000"/>
          <w:sz w:val="20"/>
          <w:lang w:val="en-US" w:eastAsia="en-US" w:bidi="ar-SA"/>
        </w:rPr>
        <w:t>Torts — Duty of care, particular relationships — Negligent words — Preparation of financial information — Evidence and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7" w:name="Case Summary_29"/>
            <w:bookmarkEnd w:id="2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by the trial judge after a successful appeal by Webster and his four partners. The partners sued Ernst &amp; Young for damages that had resulted from negligent misrepresentations in advice about leaving their old law firm in the least expensive manner. The trial judge found that the partners had proved all the elements of the tort of negligent misrepresentation, including proof of loss, on the issue related to Adjusted Cost Base advice. The partners had proved their loss on that issue because Ernst &amp; Young had agreed to indemnify the partners for the tax liability arising from the Adjusted Cost Base advice. The trial judge dismissed the partners' claim in relation to advice about leaving under a Departure Agreement instead of under the terms of the old firm's Partnership Agreement. This was because the partners failed to prove that they had suffered a loss as a result of having relied on the choice of agreement advice. The partners appealed, and the appeal was granted on the basis that once the trial judge ruled that the partners had proved negligent misrepresentation, he was obliged to assess the damages, even if they were difficult to assess. The matter was returned to the trial judge to complete his reasons and assessment.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8" w:name="Holdings of Court_24"/>
            <w:bookmarkEnd w:id="208"/>
            <w:r>
              <w:rPr>
                <w:rFonts w:ascii="arial" w:eastAsia="arial" w:hAnsi="arial" w:cs="arial"/>
                <w:color w:val="000000"/>
                <w:sz w:val="20"/>
                <w:lang w:val="en-US" w:eastAsia="en-US" w:bidi="ar-SA"/>
              </w:rPr>
              <w:t>HELD: No damages assessed.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appeal court mistakenly applied the trial judge's findings on the Adjusted Cost Base issue to his findings on the choice of agreement issue. The partners had not provided any evidence to the trial judge that showed that the partners would have been in a better financial position if they had left their old firm under the firm's Partnership Agreement than they were in after using the Departure Agreement to leave the firm. The trial judge ruled in his reasons that the partners failed to prove any loss on the choice of agreement issue. As there was no evidence of loss on this issue, there were no damages to be assessed.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9" w:name="Counsel_32"/>
      <w:bookmarkEnd w:id="2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 Sugden, Q.C., for the plaintiffs. Judy Jansen,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32"/>
      <w:bookmarkEnd w:id="210"/>
      <w:r>
        <w:pict>
          <v:line id="_x0000_s1179" style="position:absolute;z-index:2517944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ALLAN J."/>
            <w:bookmarkEnd w:id="211"/>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purpose of this hearing was to assess damages pursuant to the majority judgment of the Court of Appeal delivered on April 5, 2000 and reported at </w:t>
      </w:r>
      <w:hyperlink r:id="rId619" w:history="1">
        <w:r>
          <w:rPr>
            <w:rFonts w:ascii="arial" w:eastAsia="arial" w:hAnsi="arial" w:cs="arial"/>
            <w:i/>
            <w:color w:val="0077CC"/>
            <w:sz w:val="20"/>
            <w:u w:val="single"/>
            <w:shd w:val="clear" w:color="auto" w:fill="FFFFFF"/>
            <w:lang w:val="en-US" w:eastAsia="en-US" w:bidi="ar-SA"/>
          </w:rPr>
          <w:t>(2000), 75 B.C.L.R. (3d) 169</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2000 BCCA 229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August 26, 1998, following an eight-day trial, I delivered reasons for judgment dismissing the plaintiffs' action, </w:t>
      </w:r>
      <w:hyperlink r:id="rId620" w:history="1">
        <w:r>
          <w:rPr>
            <w:rFonts w:ascii="arial" w:eastAsia="arial" w:hAnsi="arial" w:cs="arial"/>
            <w:i/>
            <w:color w:val="0077CC"/>
            <w:sz w:val="20"/>
            <w:u w:val="single"/>
            <w:shd w:val="clear" w:color="auto" w:fill="FFFFFF"/>
            <w:lang w:val="en-US" w:eastAsia="en-US" w:bidi="ar-SA"/>
          </w:rPr>
          <w:t>[1998] B.C.J. No. 2005</w:t>
        </w:r>
      </w:hyperlink>
      <w:r>
        <w:rPr>
          <w:rFonts w:ascii="arial" w:eastAsia="arial" w:hAnsi="arial" w:cs="arial"/>
          <w:color w:val="000000"/>
          <w:sz w:val="20"/>
          <w:lang w:val="en-US" w:eastAsia="en-US" w:bidi="ar-SA"/>
        </w:rPr>
        <w:t>. The parties and issues were described in the first three paragraphs of that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five plaintiffs (collectively "WHA") were partners inthe lawfirm of Ferguson Gifford ("the Firm") until April 30, 1994 when they left to establish their own lawfirm, Webster Hudson Akerly. They retained the defendant chartered accountants, Ernst &amp; Young, to provide professional advice with respect to the best method of leaving Ferguson Gifford and establishing their new lawfirm. On the advice of the defendants, the plaintiffs negotiated a "Departure Agreement" dated April 19, 1994 with Ferguson Gifford. The plaintiffs allege that, but for the tax advice they received from the defendants, and, in particular, Mr. Lary and Mr. Yada, they would have departed pursuant to the provisions of Ferguson Gifford's Partnership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Subsequently, WHA became aware of adverse tax consequences which, they say, resulted from negligent tax advice provided by the defendants. They claim damages for losses which allegedly resulted from the consequences of entering into the Departure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sole issues are whether the plaintiffs have satisfied the onus on them to establish the elements of negligent misstatement by the defendants and, if so, the measure of damages. At the conclusion of the plaintiffs' case, the defendants made an insufficient evidence motion and elected to call no evidence. They assert that the plaintiffs have not adduced sufficient evidence to prove the elements of the tort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submitted that the defendants were negligent in their professional advice with respect to two issues: the plaintiffs' respective adjusted cost bases ("ACB") and a set-off of the build up of work in progress ("WIP") in WHA against the WIP allocations from Ferguson Gifford.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set out the elements of the tort of negligent misrepresentation at para. 9 of my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Queen v. Cognos Inc., </w:t>
      </w:r>
      <w:hyperlink r:id="rId147"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sets out the elements of negligent misrepresentation which the plaintiffs must establish:</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Ernst &amp; Young, the representor and WHA, the representee;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must be untrue, inaccurate or misleading;</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Ernst &amp; Young must have acted negligently in making the said misrepresentations;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 must have relied, in a reasonable manner, on the negligent misrepresentations;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WHA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were required to prove all of the elements of the defendants' negligent misrepresentations, including the fifth element, that they suffered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There were two distinct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first considered the plaintiffs' allegation that the defendants' advice relating to the ACB consequences of the Departure Agreement was negligent. Mr. Sugden advised the Court that the defendants had agreed to indemnify WHA with respect to any contingent tax liability arising from their negligent advice with respect to the ACB losses. The parties had agreed that the indemnity agreement would not otherwise restrict the plaintiffs from their claim for damages arising out of the defendants' advice with respect to the Departure Agreement. I noted,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Proctor estimated WHA's liability for tax and interest on the loss </w:t>
      </w:r>
      <w:r>
        <w:rPr>
          <w:rFonts w:ascii="arial" w:eastAsia="arial" w:hAnsi="arial" w:cs="arial"/>
          <w:color w:val="000000"/>
          <w:sz w:val="20"/>
          <w:u w:val="single"/>
          <w:lang w:val="en-US" w:eastAsia="en-US" w:bidi="ar-SA"/>
        </w:rPr>
        <w:t>from the negative ACB gain</w:t>
      </w:r>
      <w:r>
        <w:rPr>
          <w:rFonts w:ascii="arial" w:eastAsia="arial" w:hAnsi="arial" w:cs="arial"/>
          <w:color w:val="000000"/>
          <w:sz w:val="20"/>
          <w:lang w:val="en-US" w:eastAsia="en-US" w:bidi="ar-SA"/>
        </w:rPr>
        <w:t xml:space="preserve"> to be in excess of $150,000. Thus, notwithstanding the defendants' agreement to indemnify WHA, the plaintiffs have established the fifth element of loss in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That "fifth element of loss" related solely to the allegation that Ernst and Young provided negligent advice regarding the ACB issue. As a result of the defendants' concession, the plaintiffs were not called upon to prove the fifth element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ACB issue. To reiterate, all of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with respect to the ACB issue but they were indemnified for the tax liability consequences of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second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concerned the WIP issue. The plaintiffs failed to prove that they suffered any loss as a result of the negligent advice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fact that a "loss" was conceded with respect to the ACB issue could not constitute proof of the harm alleged by the plaintiffs. Specifically, their assertion was that the defendants' negligent advice caused them to depart Ferguson Gifford pursuant to the Departure Agreement, which was a more expensive way to leave the Firm than if they had left under the terms of the Partnership Agreement. Hypothetically, it may have been more costly for them to exit pursuant to the Partnership Agreement even without indemnification for the ACB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and submissions at trial focussed on two issues: (1) did the defendants give the plaintiffs negligent advice with respect to the WIP issue? and, (2) did the plaintiffs suffer any loss as a result of leaving under the terms of the Departure Agreement prepared by the defendants rather than the Partnership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those issues, I reached the following conclusions: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negligently advised the plaintiffs they could "offset" WIP built up in the WHA lawfirm against the WIP allocated to them by Ferguson Gifford;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relied, in a reasonable manner, on the defendants' negligent advice;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 failed to prove that they suffered damage from their reliance on the defendants' negligent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 49, I framed the issue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Mr. Justice Sopinka stated in Rainbow, </w:t>
      </w:r>
      <w:hyperlink r:id="rId621"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xml:space="preserve">, the plaintiffs must prove "the loss occasioned by the transaction" in order to discharge their burden of proof with respect to damages. </w:t>
      </w:r>
      <w:r>
        <w:rPr>
          <w:rFonts w:ascii="arial" w:eastAsia="arial" w:hAnsi="arial" w:cs="arial"/>
          <w:color w:val="000000"/>
          <w:sz w:val="20"/>
          <w:u w:val="single"/>
          <w:lang w:val="en-US" w:eastAsia="en-US" w:bidi="ar-SA"/>
        </w:rPr>
        <w:t>In this case, the plaintiffs must establish loss occasioned by their reliance on the defendants' negligent misstatements. That requires them to prove that the net benefits (allowing for tax consequences and any other negative contingencies) of leaving the Firm under the Partnership Agreement exceeded the net benefits they received under the Departure Agreement</w:t>
      </w:r>
      <w:r>
        <w:rPr>
          <w:rFonts w:ascii="arial" w:eastAsia="arial" w:hAnsi="arial" w:cs="arial"/>
          <w:color w:val="000000"/>
          <w:sz w:val="20"/>
          <w:lang w:val="en-US" w:eastAsia="en-US" w:bidi="ar-SA"/>
        </w:rPr>
        <w:t>. In order to determine whether the plaintiffs suffered quantifiable damages as a result of executing the Departure Agreement, it is necessary to compare the plaintiffs' position under both the Partnership Agreement and the Departure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concluded that WHA failed to prove that, as a result of the defendants' negligent advice, they suffered harm by departing Ferguson Gifford pursuant to the Departure Agreement rather than the Partnership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were unable to establish that it was more costly for them to depart pursuant to the Departure Agreement than the Partnership Agreement. They failed to demonstrate any comparison between the relevant tax treatment of income, capital payments and allocation of WIP under the two Agreements. They may have been in a better position under one Agreement than the other; they may have been in a worse position. It was impossible to tell.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December 3, 1999, the Court of Appeal heard the plaintiffs' appeal from my judgment, </w:t>
      </w:r>
      <w:hyperlink r:id="rId619" w:history="1">
        <w:r>
          <w:rPr>
            <w:rFonts w:ascii="arial" w:eastAsia="arial" w:hAnsi="arial" w:cs="arial"/>
            <w:i/>
            <w:color w:val="0077CC"/>
            <w:sz w:val="20"/>
            <w:u w:val="single"/>
            <w:shd w:val="clear" w:color="auto" w:fill="FFFFFF"/>
            <w:lang w:val="en-US" w:eastAsia="en-US" w:bidi="ar-SA"/>
          </w:rPr>
          <w:t>[2000] B.C.J. No. 701</w:t>
        </w:r>
      </w:hyperlink>
      <w:r>
        <w:rPr>
          <w:rFonts w:ascii="arial" w:eastAsia="arial" w:hAnsi="arial" w:cs="arial"/>
          <w:color w:val="000000"/>
          <w:sz w:val="20"/>
          <w:lang w:val="en-US" w:eastAsia="en-US" w:bidi="ar-SA"/>
        </w:rPr>
        <w:t>. A majority of that Court allowed the appeal on the basis that I had concluded that the plaintiffs had discharged the burden of proof with respect to showing loss giving rise to damages and that I ought to have assessed damages suffered as a result of that loss. They declined Mr. Sugden's invitation to assess damages and remitted it to me "to complete [my] findings and assess the damages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Madam Justice Ryan, dissenting, would have dismissed the appeal on the basis that the real question was whether the plaintiffs had proved their cause of action, not whether I had applied the wrong test in assessing damages. She held that my findings of fact supported the defendants' assertion that the plaintiffs did not prove their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majority of the Court of Appeal appears to have applied my finding that the plaintiffs had established the fifth element in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ACB issue to the crucial issue of whether the plaintiffs had proved a loss as a result of leaving the Firm under the Departure Agreement. On that crucial issue, after considering the evidence adduced by the plaintiffs with respect to their alleged loss, I specifically noted,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prove a loss arising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are required to prove that they would have fared better financially under the terms of the Partnership Agreement. The evidence does not permit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majority of the Court of Appeal referred the case back to me on the following basis: "Once their loss was shown, the plaintiffs were entitled, despite the difficulty, to have the court consider and assess them." In fact, I found the plaintiffs did not establish that they suffered any loss as a result of their reliance on the defendants' negligent advice. There was no loss to quantify. I remain of the view that there is no basis upon which to assess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Williams (Litigation guardian of) v. B.C. Conference of the Mennonite Church Brethren, [2010] I.L.R. para. I-5005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Nos. S083195, S084536, S086881, and S19386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[2010] I.L.R. para. I-5005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[2010] B.C.J. No. 1065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2010 BCSC 791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Williams and Williams (Litigation guardian of) v. The B.C. Conference of the Mennonite Brethren Churches et al.; Helsloot v. The B.C. Conference of the Mennonite Brethren Churches et al.; Witzke and Witzke (Litigation guardian of) v. The B.C. Conference of the Mennonite Brethren Churches et al.; Ablitt v. Central Heights Church et al.</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33"/>
      <w:bookmarkEnd w:id="212"/>
      <w:r>
        <w:rPr>
          <w:rFonts w:ascii="arial" w:eastAsia="arial" w:hAnsi="arial" w:cs="arial"/>
          <w:b/>
          <w:color w:val="000000"/>
          <w:sz w:val="20"/>
          <w:lang w:val="en-US" w:eastAsia="en-US" w:bidi="ar-SA"/>
        </w:rPr>
        <w:t>Commercial general liability insurance — Policy interpretation — Additional insureds — Broker's relationship with insurer — Whether the broker had authority to issue certificates naming additional insureds under a promoter's policy — The floor of a church collapsed during a concert, resulting in four actions being commenced against various parties — Promoter's insurer was required to provide primary coverage to church and bands, as the broker had implied authority to issue additional insured certificates — Therefore the policies held by the church and one band provided excess coverage only — Application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3" w:name="Case Summary_30"/>
            <w:bookmarkEnd w:id="21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Four actions, including a class action, were commenced by various concert attendees for personal injuries suffered as a result of the collapse of the venue's (a church) floor. The plaintiffs sued The B.C. Conference of the Mennonite Brethren Churches (the "Conference"), the producer/promoter Unite Productions Inc. ("Unite"), Starfield (a band), and Shane &amp; Shane (another band). The claims were essentially that the defendants failed to ensure the building and equipment were safe. Unite was insured under a general liability policy issued by Premiere Insurance Underwriting Services Inc. ("Premiere"), a managing general agent for Lloyd's Underwriters ("Lloyd's") and Temple Insurance Company ("Temple"). Jones Deslauriers Insurance Management Inc. ("JD") was the placing insurance broker. The Conference was insured under a general liability policy with Lombard General Insurance Company of Canada ("Lombard"). Starfield was insured under a general liability policy with Fireman's Fund ("Fireman's"). JD issued certificates of insurance to each of the Conference, Starfield, and Shane &amp; Shane, purporting to add them as additional insureds under the Unite policy. The Conference, Starfield, and Shane &amp; Shane claimed coverage for the litigation under the Unite policy by reason of the certificates. Lloyd's/Temple denied coverage on the basis JD did not have actual, implied, or ostensible authority to issue the certificates. The Conference, Starfield, and Shane &amp; Shane claimed against JD and Premiere for negligent misrepresentation. The Conference brought an application for a declaration that it, Starfield, and Shane &amp; Shane were additional insureds under the Unite policy, and that the Unite policy was primary and the Conference and Starfield policies were excess.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4" w:name="Holdings of Court_25"/>
            <w:bookmarkEnd w:id="214"/>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first noted that the history of the relationship between Premiere and JD was significant to whether JD had authority to issue the certificates from Premiere on behalf of Lloyd's/Temple; at the time the Unite policy was issued, JD and Premiere had a four-year relationship with Unite, in which Premiere knew that Unite would be promoting concerts that involved having additional insureds. The Court also noted that Premiere never communicated to JD prior to the collapse that JD needed to get approval of Premiere prior to adding additional insureds for this type of policy. As such, the issue became how the authority was granted to issue certificates. The Court found that, absent an express contract between the parties, the authority would have to be implied and that such implied authority did exist and was exercised by JD with Premier's knowledge. As such, the Conference, Starfield, and Shane &amp; Shane were additional insureds under the Unite policy.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issue of whether the Conference and Starfield policies were excess or whether all insurers were liable concurrently in equal shares, the Court found that the Conference and Starfield policies were not "true" excess policies: both stated the insurance was primary except when the excess insurance clause applied. Lombard's and Fireman's intention as unambiguously expressed in the policies was to provide primary insurance to the Conference and Starfield unless they were added to the Unite policy by endorsement. Therefore, it became necessary to determine whether the certificates adding the parties as additional insureds were equivalent to being added by attachment of an endorsement. The Court concluded that this peculiar factual matrix established that the Conference and Starfield were added as additional insureds by attachment of an endorsement to the Unite policy through an issuance of a certificate; the Court held that, on the evidence, the additional insured certificates performed a function indistinguishable from that of an endorsement, and that they constituted the endorsement itself. As such, Lombard's and Fireman's policies were excess to the Unite policy. Finally, the Court dismissed Lloyd's/Temple's application for a declaration of entitlement to damages against JD for amounts paid to defend the claim against the Conference.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5" w:name="Counsel_33"/>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J.H. MacMaster and P.J. Miller for The B.C. Conference of the Mennonite Brethren Churches; J.D. Ankenman for Starfield; A.R. Nelson and A.G. Behennah for Premiere Insurance Underwriting Services Inc., Lloyd's Underwriters, and Temple Insurance Company; W.M.B. Holburn, Q.C., and J.P. Kennedy for Jones Deslauriers Insurance Management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33"/>
      <w:bookmarkEnd w:id="216"/>
      <w:r>
        <w:pict>
          <v:line id="_x0000_s1183" style="position:absolute;z-index:2517954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6, 2010;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J.R. DILLON J."/>
            <w:bookmarkEnd w:id="217"/>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litigation arises from an incident that occurred on April 25, 2008, when the floor of a church being used for a Christian rock music concert collapsed, causing numerous persons to fall into the basement of the church. The concert took place at premises called the Central Heights Church (the "church") in Abbotsford, British Columbia (the "premises"), which were owned by The B.C. Conference of the Mennonite Brethren Churches (the "conference"), of which Central Heights Church was a member. The concert was promoted by Unite Productions Inc. ("Unite"), a promoter of Christian rock music concerts by religious entertainers and musical bands. The rock musical bands, Starfield and Shane &amp; Shane, were performers at the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Four actions have been commenced, one of which is a class action, by various concert attendees for personal injuries suffered as a result of the collapse of the church floor. The plaintiffs have claimed against the conference, Unite, Starfield, and Shane &amp; Shane, including the constituent members of the latter two parties. The claims are essentially that these defendants failed to act appropriately in ensuring that the building was safe for the concert, that the equipment used by the bands was safe for the concert, that the concert goers' behaviour was not out of control, and that the concert was stopped when there were indications of floor vibration and equipment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Unite was insured under a general liability policy of insurance #2000336E (the "Unite policy"), in effect from March 16, 2008 to March 16, 2009, issued by Premiere Insurance Underwriting Services Inc. ("Premiere"), a managing general agent for Lloyd's Underwriters ("Lloyd's") and Temple Insurance Company ("Temple"), (collectively called "Lloyd's/Temple"), the insurers under the policy. Jones Deslauriers Insurance Management Inc. ("Jones Deslauriers") was the insurance broker who placed the policy with Premiere on behalf of Unite.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conference was insured under a commercial general liability policy of insurance #CBC192148500 (the "conference policy"), in effect from November 1, 2007 to November 1, 2008, with Lombard General Insurance Company of Canada ("Lombard"). Starfield was insured under a general liability policy of insurance #E92XXXC80431333 (the "Starfield policy"), in effect from October 11, 2007 to October 11, 2008, with Fireman's Fund ("Fireman's").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Jones Deslauriers issued certificates of insurance to each of the conference, Starfield, and Shane &amp; Shane, purporting to add these parties as additional insureds under the Unite policy (the "certificates"). The conference, Starfield, and Shane &amp; Shane have claimed coverage for this litigation under the Unite policy by reason of the certificates issued to them by Jones Deslauriers. Lloyd's/Temple have denied coverage for the additional insureds under the Unite policy on the basis that Jones Deslauriers did not have actual, implied or ostensible authority to issue the certificates. The conference, Starfield, and Shane &amp; Shane have claimed against Jones Deslauriers for negligent misrepresentation if the certificates issued to them are not valid. They have also claimed against Premiere for negligently misrepresenting that the certificates were valid and extended coverage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conference has brought an application pursuant to Rule 18A for a declaration that the conference, Starfield and its individual members, and Shane &amp; Shane and its individual members are additional insureds under the Unite policy with Lloyd's/Temple. In addition, the conference seeks a declaration that, in reference to the defence and indemnity of the conference and Starfield, the Unite policy is primary and that the conference and Starfield policies are excess.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conference is not proceeding with the balance of its Notice of Motion. It has been agreed with Lloyd's/Temple that if Jones Deslauriers is found to have had authority to issue the certificates, then all of the claims presently made against the conference, Starfield, and Shane &amp; Shane are within the category of risk covered by the Unite policy and Lloyd's/Temple have an obligation to defend each of them. Lloyd's/Temple have agreed that the certificates do not limit the liability coverage available to the conference, Starfield and Shane &amp; Shane under the Unite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Shane &amp; Shane, who did not appear in these proceedings, advised the Court through counsel for the conference that it would be bound by the Court's decision on these issues. Jones Deslauriers does not oppose the application for a declaration that the conference, Starfield, and Shane &amp; Shane are additional insureds, but does oppose a declaration that the conference and Starfield policies are excess. Jones Deslauriers says that those policies are co-primary with the Unite policy. Premiere and Lloyd's/Temple oppose all of the motion and also say that the conference and Starfield policies are co-primary with the Unite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Lloyd's/Temple have brought an application under Rule 18A for a declaration that if the claims against the conference in this litigation would not have been covered by the Unite policy if Jones Deslauriers had included language in the certificates limiting the coverage available to the church to liability "arising out of the operations of the named insured" (Unite), then Lloyd's/Temple are entitled to damages from Jones Deslauriers for all amounts paid by Lloyd's/Temple under the Unite policy for the defence of the conference in relation to the claims. Jones Deslauriers opposes this application. It is understood that if this court finds that the conference, Starfield, and Shane &amp; Shane do not have coverage under the Unite policy, then there is no need to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Starfield coordinated a tour called "I Will Go" with the participation of Shane &amp; Shane which started in Victoria, British Columbia on April 24, 2008. The concert at the premises on April 25 was part of the tour (the "concert"). Starfield had retained Unite to assist with the tour. Unite worked to promote and market the concert, selected the premises as the venue for the concert, reviewed and signed agreements related to the use of the premises for the concert, paid the conference for use of the premises, assisted in the loading and setting up of equipment for the concert, and was involved with the front door, ticket sales, ushering, security and volunteers for the concert. Paul Kelly ("Kelly"), President of Unite, signed an agreement with the conference on February 19, 2008 which obliged Unite to cause the conference to be added as an additional insured to the Unite policy and to furnish a copy of the certificate of insurance confirming this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Unite retained Jones Deslauriers to obtain liability insurance for Unite. Premiere had issued three policies to Unite, the first in 2005-2006, prior to issuance of the Unite policy as a renewal on March 11, 2008, for a term from March 16, 2008 to March 16, 2009. This policy was effective at the time of the collapse.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agreed by all that Premiere was Lloyd's/Temple's agent with respect to the Unite policy and had authority to issue the Unite policy, to authorize additional insureds to be added to the Unite policy, and to bind Lloyd's/Temple in all respects regarding the Unite policy and the certificates. Premiere typically did not have broker agreements in place between it and the brokers with whom it did business, including Jones Deslauriers. By the time the Unite policy was issued, Jones Deslauriers and Premiere had a four-year relationship with Unite in which Premiere knew that Unite would be promoting concerts that involved adding additional insureds. The history of that relationship is significant to the issue of whether Jones Deslauriers had actual, implied or ostensible authority to issue certificates from Premiere on behalf of Lloyd's/Temple.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relationship between Jones Deslauriers, Premiere and Unite began in March 2005 when Michael Loeters ("Loeters") from Jones Deslauriers sent a proposal of insurance to the vice-president for underwriting for Premiere, Deborah Andrews ("Andrews") and asked for a quote. Kelly was requested to be added as a named insured in the proposal. Andrews knew Unite to be a promoter of Christian rock music concerts and other events with a plan to run 12 church-based concerts in 2005-2006. Premiere was prepared to quote for the insurance without obtaining a completed application form or a copy of any venue contracts. This was the first business placed by Jones Deslauriers with Premiere.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Andrews knew that promoters customarily have written contracts in place with the event facility owner which typically contain indemnity and hold harmless provisions. She also knew that certificates of insurance were issued for promoters when the event facility owner asked to be added to the promoter's insurance as an additional insured for a specific event being staged at the owner's facility. The certificate of insurance issued to third parties such as facility owners was to act as proof to the third party that the third party had been added as an additional insured under the insured's policy. Jimm Tran ("Tran"), an underwriter for Premiere at the time who worked directly under Andrews, also said that, for policies issued to promoters such as Unite, it was expected that additional insured certificates would be required. Loeters confirmed that it was typically expected that, with respect to a policy issued to a promoter, additional insured certificates which add additional insureds to the named insured's policy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conclude that the practice generally followed at Premiere with respect to adding additional insureds to a promoter's policy at the relevant time was to add by certificate of insurance issued by the broker involved, without more. This practice was applied to Jones Deslauriers for the Unite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Tran said that brokers on accounts related to promoters "were not required to seek my approval or authorization before issuing certificates on such a policy and I did not require it of Jones Deslauriers". He also said that during the time that he worked at Premiere and prior to this loss, brokers did, in fact, have authority to issue additional insured certificates on promoter policies such as Unite without previously discussing the issuance of the certificates with an underwriter at Premiere and without first receiving Premiere's authorization and approval. He said that due to the volume of other work and the number of additional insured certificates received at Premiere, reviewing additional insured certificates took low priority. He was told not to contact the broker to specifically advise that an additional insured certificate was acceptable unless there was a discrepancy or questions to be addressed. Review of the history of transactions between Jones Deslauriers and Premiere from 2005 through to April 2008 evidences this practice as it related to Unite.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Shortly after the first policy was issued to Unite, Colin Egelton ("Egelton"), account manager for the Unite account at Jones Deslauriers, faxed Andrews a certificate of insurance that had been issued by Jones Deslauriers for Unite under the Unite policy and the email correspondence leading to issuance of the certificate. The attached correspondence from Kelly to Loeters at Jones Deslauriers indicated that Kelly was about to do his first concert with Jones Deslauriers as the broker and Kelly wanted to ensure that everything was done right. Kelly asked that a specific person and the tour personnel be added as additional insureds for a concert to take place on May 2, 2005, the same day as the fax. The certificate that had been issued reflected the request exactly with the description "...but only with respect to the operations and premises rented or owned by the named insured". Egelton told Andrews that the certificate "had been issued" and requested that Premiere add the additional insured. A junior underwriter assistant to Andrews responded several days later, thanking Egelton for the certificate and requesting additional information which Egelton provided orally. Premiere did not advise Egelton or anyone at Jones Deslauriers that it did not have authority to issue the certificate of insurance at this time or at any subsequent time before April 25,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Jones Deslauriers also issued certificates of insurance for another entertainment/promoter account in 2005 on behalf of Premiere. The "Walk of Fame" policy was for a gala fundraiser in Toronto under which certificates were issued to add additional insureds for planned events of which Premiere had been informed. Again, the fax correspondence from Jones Deslauriers said that the certificates had been issued. Andrews said that these certificates were issued by Jones Deslauriers without seeking prior approval from Premiere. The wording on these certificates included the phrase indicating that the additional insureds were added "... but only with respect to liability arising out of the business operations of the named insured". Andrews said that she would have delegated communication of approval of the certificates to her junior underwriter assistant; however, she does not aver to having specific recollection of doing so and she also acknowledged that there is no evidence that such communication specifically took place. Further, she suggested that it possibly did not take place because Premiere already knew that additional insureds would be required from the request for coverage. While there is one certificate from the Walk of Fame group that is stamped with Andrews approval, Matt Croswell ("Croswell"), an account executive with Jones Deslauriers who dealt with the file and sent the certificate, said that no stamped copy indicating approval was ever provided to Jones Deslauriers. The final certificate issued on this account sought to expand the insurance to add a professional fees endorsement to coverage. Andrews specifically approved this request and back-dated an endorsement following issuance of the certificate. There had been no discussions about this certificate except in relation to the expansion of coverage. As with all previous certificates issued on this account, there was no response from Premiere to Jones Deslauriers in relation to the issuance of additional insured certificates. There is no evidence that Premiere actually communicated approval to Jones Deslauriers at any time with respect to this account or that Premiere told Jones Deslauriers that this process was not acceptable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From this evidence, it can be inferred that Premiere was not concerned about the practice of the broker issuing certificates of insurance under a promoter policy to add additional insureds provided that Premiere had prior information about the additional insureds. In the case of Unite, this information had been provided by sending the list of venues with the request for coverage each year. Later, the specific information was not requested. Significantly, the certificates were sent to Premiere as "issued". There was not a specific request for prior approval and none was given as there was simply no communication from Premiere after receipt of the certificates. It is clear that Jones Deslauriers did not obtain prior approval from Premiere before these certificates were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2006, Premiere followed its general practice of not requesting updated application forms for renewal of the policy if the broker confirmed that there were no significant changes to the insured's business since the last policy. The Unite policy was renewed on the same terms based upon information obtained from Jones Deslauriers. Egelton could not remember how many certificates of insurance for additional insureds he issued on the Unite account in 2006. The electronic record of Jones Deslauriers only lists one certificate. A late search of Kelly's archived materials revealed that he received at least four certificates in 2006. Premiere states that it did not receive any certificates or requests to add additional insureds that year. Egelton was surprised that no certificates were found initially for 2006 because he said that he sent the certificates to Kelly and to Premiere. Based upon Egelton's evidence, all these certificates would also have been sent to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2007, Unite filled out the Premiere performers/promoters liability application for insurance form for the first time. It had not been requested previously. In the application, Kelly described the venues as "many local churches across Canada" and listed the dates, locations, and estimated attendance of the various shows. The application requested specimen agreements with leased venue owners to be attached: however, none were attached and Premiere did not follow up to request them, as had been the practice established from the beginning of the relationship. There was also a question on the form asking if additional certificates of insurance were required for security providers and the answer was "no". Noticeably absent from the form was a request for information about the contractual relationship between the promoter and the event facility owner. Andrews acknowledged that the list of venues provided the basic information about venues. From this, it can be inferred that Premiere knew what shows Unite was doing in that year and could have expected that the venues would be added as additional insureds.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Based upon Kelly's files, it appears that Egelton issued nine certificates on the Unite account in February 2007. These did not appear in the electronic record of Jones Deslauriers and I conclude that the electronic record was not accurate. Copies of certificates issued were not kept in the computer record because the template was re-used such that the original certificate was changed. When Egelton left Jones Deslauriers, the Unite account was briefly taken over by Brenda Kestenberg ("Kestenberg") who said that she issued three certificates on the account on May 1, 2007. Kestenberg emailed the certificates to Kelly and then placed the certificates for delivery to Premiere via Insurance Courier Services ("ICS"). Jennifer Gori ("Gori") became involved in the Unite account at Jones Deslauriers in May 2007. She issued nine certificates of insurance in 2007 and said that she sent them to Premiere via ICS. Gori assumed that she had authority to issue the certificates based upon what had occurred on the file in the past, the fact that there was no indication that special approval was required, and there were no specific communications from Premiere noted on the file to the contrary as there would have been if such was the case. Gori stated that her practice was to email copies of the certificates to Kelly and then deliver them to the Jones Deslauriers mail room for delivery to Premiere via ICS. She did not receive any certificates back from the mail room and therefore believed that they went out in the daily mail through ICS. Premiere says that no certificates were received in 2007. Premiere did not inquire as to why certificates were not being sent over the course of renewal of the Unite policy when the various shows and venues were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some equivocation, Premiere accepted as fact that the 2006 and 2007 certificates were put into the ICS system for delivery. This is consistent with the preponderance of the evidence. While Gori made certain errors and although the hard copies of certificates were not retained by Jones Deslauriers, this is explained through the template system used at Jones Deslauriers and the fact that the hard copies were sent to Premiere. The fact that the certificates were sent to Kelly and Premiere at the same time as a matter of practice and that Kelly was able to locate a number of these certificates also supports the conclusion that the certificates were put into the ICS system for delivery. Premiere also said that it was a fact that the certificates were never received. However, the inference to be drawn from the circumstance of the certificates being placed for delivery within ICS is that the certificates were delivered to the intended receiver, Premiere. Tran said that if he had received the certificates, he would have reviewed, stamped, and then put the certificates in the file. Premiere asks that an inference be drawn that if the certificates were not in the file, then they were not received by Premiere. However, Tran also said that certificates were a low priority, that he never acknowledged receipt or sent anything back to the broker, and that it was not feasible to keep an ongoing log of certificates because there were so many. He had no specific recollection as to whether he received any certificates on the Unite file during this period. The senior underwriter from Premiere who was involved in the 2006 and 2007 renewal of the Unite policy had no specific memory of either the account or whether certificates were received. On balance, I conclude that the content of Premiere's files is not conclusive and that Premiere must have received the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March 11, 2008, Tran for Premiere confirmed renewal of the Unite policy, from March 16, 2008 to March 16, 2009, with Gori. The terms as defined by Tran were based upon the last year's anticipated attendance figures for various concerts. Tran did not request and Gori did not forward the list of venues and performers for 2008-2009 as received from Kelly. As in the past, Tran did not request a copy of the standard contract that Unite used. Tran did request a copy of the binder to be prepared by Jones Deslauriers so that Premiere could issue the policy. A binder is a document prepared by the broker and sent to the insured which sets out the key terms of coverage under the policy. The binder sent to Premiere and which was accepted by Tran and formally approved by Robert Jordan ("Jordan"), a senior underwriter and vice-president at Premiere, stated that there were additional insureds "as known to Insurer". Jordan said that he saw nothing that indicated that additional insureds were or were going to be requested. He did nothing to follow up on his approval of the binder. Premiere would have known though attendance figures, concert venues, and prior known certificates issued that additional insureds were related to these events. Gori assumed from her dealings with Tran that the additional insureds would become known as the certificates were sent. There was no additional charge added to the premium of the Unite policy for additional insureds, unless there was expansion of coverage through endorsement as had occurred for the Walk of Fame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By April 2, 2008 and prior to the concert, Kelly requested Jones Deslauriers to cause the conference, Starfield, and Shane &amp; Shane to be added as additional insureds to the Unite policy. He did this by sending Gori an email listing the venues over the next five months plus the names of all of the bands, with the request that they be named as "also insured". Included in the list was the April 25, 2008 concert at the premises with Starfield and Shane &amp; Shane. Kelly understood that Jones Deslauriers had authority to add these parties as additional insureds to the Unite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Gori for Jones Deslauriers sent Kelly certificates of insurance for the upcoming concerts on April 15 and 21, 2008. This included a certificate for Starfield with the statement that the certificate holder, Starfield, had been added as an additional insured, and naming Premiere as the company affording coverage under certain policies. The numbers in the stated policies were wrong but no issue is taken with the error. A certificate was also issued for Shane &amp; Shane in the same manner. The certificate of insurance issued for the conference named the Central Heights Church as an additional insured with the description: "This certificate applies to the event taking place Friday April 25th". The church had requested proof of liability insurance to cover the event on their premises and Unite eventually sent the certificate on April 23, 2008. None of the certificates that were issued included the words "with respect to liability arising out of the operations of the named insured" in the Description of Operations box provided on the certificates. Premiere said that all of the certificates would have been approved provided that they contained this limiting clause. However, this was not the history of the file as Premiere never brought this concern to the attention of the broker until after April 25,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Gori swore that, on April 15 and 21, she sent 21 certificates that had been issued on April 15 and 21 to Tran at Premiere via the ICS. Premiere did not locate any of these certificates in their files and, therefore, sought a conclusion that they were never received by Premiere. However, the inference from the accepted fact that they were placed with ICS for delivery by Jones Deslauriers leads to the conclusion that they must have been received by Premiere. Also, Tran said that if he had received a certificate for an event that had occurred before he received the certificate, he would have considered this to be a problem and would have contacted the broker. He did not recall that this ever occurred while he worked at Premiere. This means that when Gori re-sent the certificates after the collapse, it must not have been the first time that Tran saw these certificates. Otherwise, he would have remembered such an occurrence as the certificates would have been for an event that occurred before he received the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Three days after the collapse of the church floor, Gori received information about the collapse. From the timing of emails, it appears that she immediately re-sent the certificates to Tran via email stating: "Please find attached the batch of certificates I did for this insured. This will help us determine his figures for the next renewal". Included amongst the certificates were the ones issued for the church, Starfield, and Shane &amp; Shane that Gori said she had sent via ICS on April 21. Gori then informed P. Konikoff of Premiere via email about the collapse of the church floor, citing the Unite policy number. Premiere said that it never received copies of these certificates sent via ICS and first learned about these certificates via the April 28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April 30, 2008, Gori sent another seven certificates to Tran at Premiere showing additional insureds under the Unite policy. Jordan, the senior underwriter and vice-president at Premiere, said that the emails from Gori to Tran of April 28 and 30, 2008 would have been brought to his attention by Tran, but there is no documentation of this nor specific recollection of Jordan. Jordan said that more certificates were sent by Gori via email on May 23 and June 2. The email referenced events taking place that week. Tran left Premiere in late May. Jordan emailed Gori on May 26 to advise that Tran had left Premiere and that Jordan would be taking over as the main underwriting contact for Jones Deslauriers. He also said that he would be in touch shortly with respect to requirements for the issuance of certificates that were being issued on behalf of Premiere. No comment was made about the certificates that had been sent which only included the dates of the event in the description of operations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not until June 24, 2008 that Jordan of Premiere advised Gori of Jones Deslauriers that no authority existed for a broker to add additional insureds to any policy unless Premiere explicitly agreed that a broker could do so. He also told Gori that Jones Deslauriers did not have authority to issue any document on behalf of Premiere representing broader coverage than provided under the policy. He further said that no such authority had ever been granted. Jordan also said that Premiere would in no circumstances add venues as additional insureds without the limiting language "but only with respect to liability arising out of the operations of the Named Insured", which he acknowledged had not been used on certificates for the last two certificates sent on June 2 for events to take place on June 6 and 7. Jordan said that the only way that this language could be inserted into the policy was to issue an endorsement which could only be done by Premiere, as they did not grant authority to issue endorsements to brokers. Jordan told Gori that if she had issued certificates without Premiere's consent and approval, she should contact the insured to advise that they were of no force or effect until Premiere approved them and issued an endorsement. Jordan also requested that more specific information about an insured's venues and contracts be sent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was conceded in argument for Premiere that the underwriters at Premiere, particularly in reference to Tran, were not taught and did not follow this procedure in relation to promoters' policies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Jordan explained his late response to the certificates of 2008. He said that the claims department was investigating the origins of the certificates that had been sent on April 28 to determine why Premiere had no knowledge that these certificates existed prior to that time. Jordan said that Premiere wanted to address all issues arising from Jones Deslauriers sending certificates adding additional insureds without Premiere's knowledge or consent at one time. Although he also said that Premiere was also dealing with Tran's departure, Jordan had immediately taken over Tran's files such that there was no lapse in communication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Subsequently, in August 2008, Gori requested certificates for additional insureds under the Unite policy and sent a list of upcoming events. All were approved provided that the additional insureds were responsible for security and that the certificate included the language "... but only with respect to the operations of the named insured". Premiere did not issue the certificates: it approved the template form used by the broker and gave authority to the broker to issue certificates to parties approved by Premiere. The list of venues and performers was sufficient. Endorsements were not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agreed in the agreed statement of facts that issuance of additional insured endorsements was not required to add the conference, Starfield, and Shane &amp; Shane as additional insureds to the Unite policy. This is significant because certificates generally are evidence only of proof of a policy of insurance but are not an actual policy document. In this regard, it is worthwhile to note that Andrews first answered on discovery that an endorsement was required to add an additional insured on a policy once a certificate of insurance was accepted. However, when asked to determine if additional insured endorsements were issued for all of the approved certificates on the Unite account, Premiere responded that, for promoters such as Unite, additional insured endorsements were not issued when an additional insured was added for a particular, limited purpose, such as a venue for a particular performance because to do so involved excessive paperwork. Rather, Premiere would approve additional insured certificates but not issue endorsements. Jordan confirmed that for insurance issued to promoters, if an additional insured was to be added for a specific event or a limited number of performances, then he would agree with the broker who would be issuing the approved certificates and no additional insured endorsement would be issued in order to reduce paperwork. In these circumstances, the certificate served as the insurance policy document affording the coverage. In keeping with this practice, no additional insured endorsements were issued for the Unite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only question is whether Jones Deslauriers was authorized to issue the certificates. The issuance of certificates authorized by Premiere would be sufficient to add the conference, Starfield, and Shane &amp; Shane as additional insureds to the Unite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history of the relationship and specific evidence shows that Premiere never communicated to Jones Deslauriers prior to the collapse that Jones Deslauriers needed to get the approval of Premiere prior to adding additional insureds for this type of policy. This is clearly so generally and with respect to the certificates that were certainly received from Jones Deslauriers with respect to promoter policies including Unite and the Walk of Fame. With one irrelevant exception, Premiere did not decline any certificates. Neither before nor after June 24, 2008 did Premiere issue certificates itself. It relied on its brokers to do so throughout. Therefore, the question really is how authority was granted to issue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some dispute in the evidence about practice in the industry as to whether brokers have authority to issue certificates of insurance to add additional insureds. Egelton of Jones Deslauriers said that he has never been told by any insurer that additional insured certificates require prior authorization and approval in advance of the event in relation to which the certificate pertains. Croswell said the same thing and also said that he has never been advised by any insurer that a certificate would not be valid or binding until an endorsement was issued. Gori concurred and said that this practice was followed except if the insurer made known by specific communication that prior approval was required. There was evidence of specific current practice in that, with the current insurer for Unite, Jones Deslauriers issues additional insured certificates and sends copies to the insurer without the requirement for specific approval. Tran of Premiere said that brokers on accounts related to promoters "were not required to seek my approval or authorization before issuing certificates on such a policy and I did not require it of Jones Deslauriers". While Andrews said that brokers needed Premiere's approval prior to issuance of certificates on behalf of Premiere and that it was her practice to communicate to the broker approval or not of a particular certificate, the evidence shows that she did neither in this case and never communicated these requirements to Jones Deslauriers.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 expert retained by Premiere opined about the standard practice in Ontario, whether there is a contract between the broker and insurer or not. He said that because additional insureds expand the overall risk assumed by the insurer, the insurer expects to be notified of any change in the risk profile. While Andrews also said that the addition of an additional insured was a material change of risk, Loeters disagreed and said this did not expand the coverage. Further, if this were so, there would have been changes to or cancellation of the policy or increased premiums. There is evidence that there was a change of premium in one case where a material change of risk was perceived. The expert said that brokers are authorized to issue certificates of insurance when the insurance policy includes a broad additional insured clause, when there is an express agreement between the broker and the insurer, and when there is a standard practice in the industry for a broker to obtain approval for certificates to be issued on a case-by case basis. The expert said that Jones Deslauriers did not follow standard practice if the certificates were sent to the named insured before they were approved by Premiere. Standard practice was to require Premiere's approval in advance. The expert did not give an opinion about the wording on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problem with this opinion is that it is not based upon the standard of practice for promoters in the entertainment industry. Indeed, the expert expressed no experience with this specialized area of practice. Also, because of the numbers, certificates are handled by a separate department at the expert's offices and, although the expert retained overall responsibility for his files, the practice in the certificate department was not described. The expert also said that something more than a certificate was required to add an additional insured; however, endorsements were clearly not issued for promoter's insurance in this case. Finally, the expert interpreted the 2005 correspondence and certificates sent to Premiere concerning the Walk of Fame as requests for approval, thus keeping with the standard that he described. He was mistaken. The fact is that the certificates were sent as "issued". Andrews said that Jones Deslauriers issued them without seeking prior approval of Premiere. There was no expectation on the part of anyone involved that approval would be specifically given for each certificate or that there would be any communication concerning approval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In conclusion, I prefer the evidence of those directly involved as to the standard of practice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parties identified three issues arising from the applications: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Jones Deslauriers have actual, implied or ostensible authority from Premiere to add additional insureds to the Unite policy by issuance of certificates?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conference and Starfield are covered as additional insureds under the Unite policy, is Lloyd's/Temple's responsibility under the Unite policy primary while coverage to the conference and Starfield under the conference and Starfield policies is excess?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coverage have been available to the conference for construction and design claims if the certificate issued to it had limited its status as an additional insured to the "liability arising out of the operations of Unite"?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Jones Deslauriers have actual, implied or ostensible authority from Premiere to add additional insureds to the Unite policy by issuance of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conference, Starfield, Jones Deslauriers, and Premiere agreed on the law that applies to the principal/agent relationship wherein an agent may bind a principal under actual or ostensible authority. The three forms of legal authority whereby an agent's conduct may bind the principal are: actual express authority, actual implied authority, and ostensible authority (</w:t>
      </w:r>
      <w:r>
        <w:rPr>
          <w:rFonts w:ascii="arial" w:eastAsia="arial" w:hAnsi="arial" w:cs="arial"/>
          <w:i/>
          <w:color w:val="000000"/>
          <w:sz w:val="20"/>
          <w:lang w:val="en-US" w:eastAsia="en-US" w:bidi="ar-SA"/>
        </w:rPr>
        <w:t>D. Fogell Associates Ltd. v. Esprit De Corp. (1980) Ltd.</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[1997] B.C.J. No. 1060</w:t>
        </w:r>
      </w:hyperlink>
      <w:r>
        <w:rPr>
          <w:rFonts w:ascii="arial" w:eastAsia="arial" w:hAnsi="arial" w:cs="arial"/>
          <w:color w:val="000000"/>
          <w:sz w:val="20"/>
          <w:lang w:val="en-US" w:eastAsia="en-US" w:bidi="ar-SA"/>
        </w:rPr>
        <w:t>, at para. 24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Actual authority as described in </w:t>
      </w:r>
      <w:r>
        <w:rPr>
          <w:rFonts w:ascii="arial" w:eastAsia="arial" w:hAnsi="arial" w:cs="arial"/>
          <w:i/>
          <w:color w:val="000000"/>
          <w:sz w:val="20"/>
          <w:lang w:val="en-US" w:eastAsia="en-US" w:bidi="ar-SA"/>
        </w:rPr>
        <w:t>Keddie v. Canada Life Assurance Co.</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1999 BCCA 541</w:t>
        </w:r>
      </w:hyperlink>
      <w:r>
        <w:rPr>
          <w:rFonts w:ascii="arial" w:eastAsia="arial" w:hAnsi="arial" w:cs="arial"/>
          <w:color w:val="000000"/>
          <w:sz w:val="20"/>
          <w:lang w:val="en-US" w:eastAsia="en-US" w:bidi="ar-SA"/>
        </w:rPr>
        <w:t xml:space="preserve"> at para. 23, </w:t>
      </w:r>
      <w:hyperlink r:id="rId631" w:history="1">
        <w:r>
          <w:rPr>
            <w:rFonts w:ascii="arial" w:eastAsia="arial" w:hAnsi="arial" w:cs="arial"/>
            <w:i/>
            <w:color w:val="0077CC"/>
            <w:sz w:val="20"/>
            <w:u w:val="single"/>
            <w:shd w:val="clear" w:color="auto" w:fill="FFFFFF"/>
            <w:lang w:val="en-US" w:eastAsia="en-US" w:bidi="ar-SA"/>
          </w:rPr>
          <w:t>70 B.C.L.R. (3d)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Keddie</w:t>
      </w:r>
      <w:r>
        <w:rPr>
          <w:rFonts w:ascii="arial" w:eastAsia="arial" w:hAnsi="arial" w:cs="arial"/>
          <w:color w:val="000000"/>
          <w:sz w:val="20"/>
          <w:lang w:val="en-US" w:eastAsia="en-US" w:bidi="ar-SA"/>
        </w:rPr>
        <w:t xml:space="preserve">] by adopting </w:t>
      </w:r>
      <w:r>
        <w:rPr>
          <w:rFonts w:ascii="arial" w:eastAsia="arial" w:hAnsi="arial" w:cs="arial"/>
          <w:i/>
          <w:color w:val="000000"/>
          <w:sz w:val="20"/>
          <w:lang w:val="en-US" w:eastAsia="en-US" w:bidi="ar-SA"/>
        </w:rPr>
        <w:t>Bowstead on Agency</w:t>
      </w:r>
      <w:r>
        <w:rPr>
          <w:rFonts w:ascii="arial" w:eastAsia="arial" w:hAnsi="arial" w:cs="arial"/>
          <w:color w:val="000000"/>
          <w:sz w:val="20"/>
          <w:lang w:val="en-US" w:eastAsia="en-US" w:bidi="ar-SA"/>
        </w:rPr>
        <w:t>, 15th ed. (London: Sweet &amp; Maxwell, 1985) at 92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Actual authority is the authority which the principal has given the agent wholly or in part by means of words or writing (called here express authority) or is regarded by the law as having given him because of the interpretation put by the law on the relationship and dealings of the two parties (called here implied authority). "An 'actual' authority is a legal relationship between principal and agent created by a consensual agreement to which they alone are parties. Its scope is to be ascertained by applying ordinary principles of construction of contracts, including any proper implications from the express words used, the usages of the trade, or the course of business between the parties. ..." [</w:t>
      </w:r>
      <w:r>
        <w:rPr>
          <w:rFonts w:ascii="arial" w:eastAsia="arial" w:hAnsi="arial" w:cs="arial"/>
          <w:i/>
          <w:color w:val="000000"/>
          <w:sz w:val="20"/>
          <w:lang w:val="en-US" w:eastAsia="en-US" w:bidi="ar-SA"/>
        </w:rPr>
        <w:t>Freeman &amp; Lockyer v. Buckhurst Park Properties (Mangal) Ltd.</w:t>
      </w:r>
      <w:r>
        <w:rPr>
          <w:rFonts w:ascii="arial" w:eastAsia="arial" w:hAnsi="arial" w:cs="arial"/>
          <w:color w:val="000000"/>
          <w:sz w:val="20"/>
          <w:lang w:val="en-US" w:eastAsia="en-US" w:bidi="ar-SA"/>
        </w:rPr>
        <w:t xml:space="preserve"> [1964] 2 Q.B. 480, 502, per Diplock L.J.]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Actual authority turns on the relationship between the principal and agent. Thus, adopting an American description implicit in </w:t>
      </w:r>
      <w:r>
        <w:rPr>
          <w:rFonts w:ascii="arial" w:eastAsia="arial" w:hAnsi="arial" w:cs="arial"/>
          <w:i/>
          <w:color w:val="000000"/>
          <w:sz w:val="20"/>
          <w:lang w:val="en-US" w:eastAsia="en-US" w:bidi="ar-SA"/>
        </w:rPr>
        <w:t>Keddie</w:t>
      </w:r>
      <w:r>
        <w:rPr>
          <w:rFonts w:ascii="arial" w:eastAsia="arial" w:hAnsi="arial" w:cs="arial"/>
          <w:color w:val="000000"/>
          <w:sz w:val="20"/>
          <w:lang w:val="en-US" w:eastAsia="en-US" w:bidi="ar-SA"/>
        </w:rPr>
        <w:t>, actual authority exists where there has been a manifestation by the principal to the agent that the agent may act on his account and consent by the agent to so act. It may be created by express agreement or implied from the conduct of the parties or surrounding circumstances (</w:t>
      </w:r>
      <w:r>
        <w:rPr>
          <w:rFonts w:ascii="arial" w:eastAsia="arial" w:hAnsi="arial" w:cs="arial"/>
          <w:i/>
          <w:color w:val="000000"/>
          <w:sz w:val="20"/>
          <w:lang w:val="en-US" w:eastAsia="en-US" w:bidi="ar-SA"/>
        </w:rPr>
        <w:t>State Farm Fire and Casualty Company v. Pacific Rent-All, Inc.</w:t>
      </w:r>
      <w:r>
        <w:rPr>
          <w:rFonts w:ascii="arial" w:eastAsia="arial" w:hAnsi="arial" w:cs="arial"/>
          <w:color w:val="000000"/>
          <w:sz w:val="20"/>
          <w:lang w:val="en-US" w:eastAsia="en-US" w:bidi="ar-SA"/>
        </w:rPr>
        <w:t xml:space="preserve"> (1999), 978 P. 2d 753 at 763 (Hawaii Sup.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Implied authority is described in </w:t>
      </w:r>
      <w:r>
        <w:rPr>
          <w:rFonts w:ascii="arial" w:eastAsia="arial" w:hAnsi="arial" w:cs="arial"/>
          <w:i/>
          <w:color w:val="000000"/>
          <w:sz w:val="20"/>
          <w:lang w:val="en-US" w:eastAsia="en-US" w:bidi="ar-SA"/>
        </w:rPr>
        <w:t>Bowstead and Reynolds on Agency</w:t>
      </w:r>
      <w:r>
        <w:rPr>
          <w:rFonts w:ascii="arial" w:eastAsia="arial" w:hAnsi="arial" w:cs="arial"/>
          <w:color w:val="000000"/>
          <w:sz w:val="20"/>
          <w:lang w:val="en-US" w:eastAsia="en-US" w:bidi="ar-SA"/>
        </w:rPr>
        <w:t xml:space="preserve">, 18th ed. (London: Sweet &amp; Maxwell, 2006) at 51 as when the principal places another in such a situation that, according to ordinary usage, that person would understand himself to have the principal's authority to act on his behalf or where the principal's words or conduct, coming to the knowledge of the agent, are such as to lead to the reasonable inference that he is authorizing the agent to act for him. Gerald Fridman, </w:t>
      </w:r>
      <w:r>
        <w:rPr>
          <w:rFonts w:ascii="arial" w:eastAsia="arial" w:hAnsi="arial" w:cs="arial"/>
          <w:i/>
          <w:color w:val="000000"/>
          <w:sz w:val="20"/>
          <w:lang w:val="en-US" w:eastAsia="en-US" w:bidi="ar-SA"/>
        </w:rPr>
        <w:t>Canadian Agency Law</w:t>
      </w:r>
      <w:r>
        <w:rPr>
          <w:rFonts w:ascii="arial" w:eastAsia="arial" w:hAnsi="arial" w:cs="arial"/>
          <w:color w:val="000000"/>
          <w:sz w:val="20"/>
          <w:lang w:val="en-US" w:eastAsia="en-US" w:bidi="ar-SA"/>
        </w:rPr>
        <w:t>, (Markham: Lexisnexis, 2009) at 65 ("Fridman") says that implied authority results when an agent has a reasonable belief, because of the conduct of the principal towards the agent, which includes acquiescence, communicated directly or indirectly to the agent, that the principal desired or consented to the agent acting as he did. Where such implication can be made, the principal has in fact consented to the agent having authority to act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Implied authority may exist where the course of dealings between the agent and principal shows that, with the knowledge and consent (express or implied) of the principal, the agent has been exercising the authority he assumed (Fridman at 65). In </w:t>
      </w:r>
      <w:r>
        <w:rPr>
          <w:rFonts w:ascii="arial" w:eastAsia="arial" w:hAnsi="arial" w:cs="arial"/>
          <w:i/>
          <w:color w:val="000000"/>
          <w:sz w:val="20"/>
          <w:lang w:val="en-US" w:eastAsia="en-US" w:bidi="ar-SA"/>
        </w:rPr>
        <w:t>Murfitt v. Royal Insurance Co.</w:t>
      </w:r>
      <w:r>
        <w:rPr>
          <w:rFonts w:ascii="arial" w:eastAsia="arial" w:hAnsi="arial" w:cs="arial"/>
          <w:color w:val="000000"/>
          <w:sz w:val="20"/>
          <w:lang w:val="en-US" w:eastAsia="en-US" w:bidi="ar-SA"/>
        </w:rPr>
        <w:t xml:space="preserve"> (1922), 38 T.L.R. 334, 10 Ll.L.R. 191 (King's Bench), an agent was found to have implied authority to bind the insurer based on the fact that the agent had been giving verbal coverage before sending documentation of such coverage to the insurer for two years. The court found that the agent's practice must have been known to the insurer and that the agent was therefore acting with the insurer's assent and knowledge. Both the existence and scope of implied authority are discoverable by reference to the conduct of the parties (</w:t>
      </w:r>
      <w:r>
        <w:rPr>
          <w:rFonts w:ascii="arial" w:eastAsia="arial" w:hAnsi="arial" w:cs="arial"/>
          <w:i/>
          <w:color w:val="000000"/>
          <w:sz w:val="20"/>
          <w:lang w:val="en-US" w:eastAsia="en-US" w:bidi="ar-SA"/>
        </w:rPr>
        <w:t>North Shore Seafoods v. Montague Seafood Inc.,</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[1993] P.E.I.J. No. 83</w:t>
        </w:r>
      </w:hyperlink>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110 Nfld &amp; P.E.I.R. 322</w:t>
        </w:r>
      </w:hyperlink>
      <w:r>
        <w:rPr>
          <w:rFonts w:ascii="arial" w:eastAsia="arial" w:hAnsi="arial" w:cs="arial"/>
          <w:color w:val="000000"/>
          <w:sz w:val="20"/>
          <w:lang w:val="en-US" w:eastAsia="en-US" w:bidi="ar-SA"/>
        </w:rPr>
        <w:t xml:space="preserve"> at para. 16 (P.E.I.S.C.T.D.)).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was no express agreement between Premiere and Jones Deslauriers for Jones Deslauriers to act as broker on behalf of Premiere and to add additional insureds by issuance of certificates of insurance on behalf of Premiere. Any actual authority would have to have been implied. In the circumstances that exist here, I have concluded that such implied authority to add additional insureds by issuance of certificates of insurance did exist and was exercised by Jones Deslauriers to the knowledge of Premiere.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Jones Deslauriers first contacted Premiere, it was to ask for a quote for insurance for the Unite account. Premiere, through Andrews, knew the nature of the account to be as a promoter of live concerts and knew that the nature of that business required that certificates of insurance would be issued to add additional insureds. Premiere did not issue such certificates itself, but left it to its broker. It was at this initial point that Andrews should have advised Jones Deslauriers of any particular requirements of Premiere as it pertained to the issuance of certificates of insurance to add additional insureds. Neither she nor anyone at Premiere did so. This left Jones Deslauriers in the circumstance of relying on the practice in the industry as it pertains to the issuance of certificates on promoters' policies. I accept the evidence of Tran, Egelton, Croswell, and Gori that the practice was that brokers on accounts related to promoters were not required to seek specific approval or authorization before issuing certificates of insurance to add additional insureds on the policies to cover the needs for specific events that were included in the coverage. This was the practice followed consistently at Jones Deslauriers and consistently at Premiere until June 24,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conduct of Premiere prior to April 25, 2008 gave implied authority to Jones Deslauriers to issue the certificates. This is apparent from the first event of May 2, 2005, when the certificate was issued before it was sent to Premiere and Premiere did not suggest that this was in error. This continued throughout the Walk of Fame era when no communication from Premiere respecting approval or the process generally took place. It was enhanced when Premiere did not seek specific information upon renewal of the policies in subsequent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there is controversy about the delivery of certificates to Premiere in the years 2006-2007 and in early 2008, I have concluded that Premiere must have received the certificates. If so, then the implied authority to issue certificates of insurance to add additional insureds is clear. If I am in error about this fact, I still conclude that there was implied authority based upon Tran's evidence that he considered that the broker had such authority and that he so acted, and upon the failure of Premiere to communicate otherwise. This is especially so between April 25, 2008 and June 24, 2008, when Jones Deslauriers continued to issue certificates and send them to Premiere and when Premiere did not immediately communicate that Jones Deslauriers had no authority to issue these certificates without prior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answer to the first issue is yes, Jones Deslauriers did have implied authority from Premiere to add additional insureds to the Unite policy by issuance of certificates of insurance.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conference and Starfield are covered as additional insureds under the Unite policy, is Lloyd's/Temple's responsibility under the Unite policy primary while coverage to the conference and Starfield under the conference and Starfield policies is excess?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stated above, Lloyd's/Temple and Premiere agreed that the issuance of a certificate authorized by Premiere would be sufficient to add the conference and Starfield as additional insureds to the Unite policy. This is sufficient to render inoperative the statement on the certificates that the certificate is a matter of information only and confers no rights upon the certificate holder. The certificate extended the coverage afforded by the Unite policy. Lloyd's/Temple further agreed that an endorsement is not required to add the conference and Starfield to the Unite policy. Having concluded that Jones Deslauriers did have implied authority from Premiere to add additional insureds, it follows that the conference and Starfield were in fact additional insureds under the Unite policy by virtue of the certificates issued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All parties agree that if the conference and Starfield are in fact additional insureds under the Unite policy, then the Unite policy provides primary coverage to the additional insureds, since none of the clauses under the Unite policy that would trigger excess coverage are engaged. They further agree that if there is coverage for the conference and Starfield under the Unite policy, the claims made against them in this litigation are within the category of risk covered by the Unite policy such as to require Lloyd's/Temple to defend and indemnify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parties disagree on whether the conference and Starfield policies are excess to the Unite policy or whether all insurers are liable concurrently and obliged to bear the loss claimed against them in equal shares. Resolving this issue depends on the interpretation given to the "Other Insurance" provisions of the conference and Starfield policies, particularly clause 9.b.(2) in section IV of the conference policy and clause 4.b.(2) in section IV of the Starfield policy (collectively "clause b.(2)"), which are virtually identical to those of the Unite policy save for the wording of clause b.(2). Clause b.(2) of the conference policy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Excess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is excess 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other primary insurance available to you covering liability for damages arising out of the premises or operations or "products-completed operations hazard" </w:t>
      </w:r>
      <w:r>
        <w:rPr>
          <w:rFonts w:ascii="arial" w:eastAsia="arial" w:hAnsi="arial" w:cs="arial"/>
          <w:color w:val="000000"/>
          <w:sz w:val="20"/>
          <w:u w:val="single"/>
          <w:lang w:val="en-US" w:eastAsia="en-US" w:bidi="ar-SA"/>
        </w:rPr>
        <w:t>for which you have been added as an additional insured by attachment of an endorsement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Clause b.(2) in the Starfield policy is identical to clause b.(2) in the conference policy, except where the conference policy reads "products-completed operations hazard" the Starfield policy reads "the products and completed operations". The difference in wording is not material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this clause is engaged, then the conference and Starfield policies are excess policies. If not, the conference and Starfield policies are primary policies and provide co-primary insurance with the Unite policy as per the sharing method stipulated in all three policies. Premiere and Jones Deslauriers take the position that the conference and Starfield policies are co-primary, whereas the conference and Starfield take the position that the policies are excess to the Unite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Primary insurance policies attach immediately upon the happening of the occurrence that gives rise to liability. By contrast, excess policies provide coverage to the insured for liability at an amount above the maximum coverage provided by the primary policy. The distinction is important: a true excess policy is conditioned on the existence of a primary policy, whereas a primary policy with an excess "other-insurance" clause is a device by which a primary insurer seeks to limit or eliminate its liability where another primary policy covers the risk, thus making it secondarily liable (Lee R. Russ &amp; Thomas F. Segalla, </w:t>
      </w:r>
      <w:r>
        <w:rPr>
          <w:rFonts w:ascii="arial" w:eastAsia="arial" w:hAnsi="arial" w:cs="arial"/>
          <w:i/>
          <w:color w:val="000000"/>
          <w:sz w:val="20"/>
          <w:lang w:val="en-US" w:eastAsia="en-US" w:bidi="ar-SA"/>
        </w:rPr>
        <w:t>Couch on Insurance</w:t>
      </w:r>
      <w:r>
        <w:rPr>
          <w:rFonts w:ascii="arial" w:eastAsia="arial" w:hAnsi="arial" w:cs="arial"/>
          <w:color w:val="000000"/>
          <w:sz w:val="20"/>
          <w:lang w:val="en-US" w:eastAsia="en-US" w:bidi="ar-SA"/>
        </w:rPr>
        <w:t>, 3d ed., loose-leaf (Eagan, Minn.: Thomson West, 2005) at s. 219:33).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this case, the default position under the conference and Starfield policies is that of primary insurance. This is because the policies both state that the insurance is primary </w:t>
      </w:r>
      <w:r>
        <w:rPr>
          <w:rFonts w:ascii="arial" w:eastAsia="arial" w:hAnsi="arial" w:cs="arial"/>
          <w:i/>
          <w:color w:val="000000"/>
          <w:sz w:val="20"/>
          <w:lang w:val="en-US" w:eastAsia="en-US" w:bidi="ar-SA"/>
        </w:rPr>
        <w:t>except</w:t>
      </w:r>
      <w:r>
        <w:rPr>
          <w:rFonts w:ascii="arial" w:eastAsia="arial" w:hAnsi="arial" w:cs="arial"/>
          <w:color w:val="000000"/>
          <w:sz w:val="20"/>
          <w:lang w:val="en-US" w:eastAsia="en-US" w:bidi="ar-SA"/>
        </w:rPr>
        <w:t xml:space="preserve"> when the excess insurance clause applies. The conference and Starfield policies are therefore not "true" excess policies. They only become excess policies when clause b.(2) of the conference and Starfield policies is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general principles of insurance contract interpretation were settled by the Supreme Court of Canada in </w:t>
      </w:r>
      <w:r>
        <w:rPr>
          <w:rFonts w:ascii="arial" w:eastAsia="arial" w:hAnsi="arial" w:cs="arial"/>
          <w:i/>
          <w:color w:val="000000"/>
          <w:sz w:val="20"/>
          <w:lang w:val="en-US" w:eastAsia="en-US" w:bidi="ar-SA"/>
        </w:rPr>
        <w:t>Consolidated Bathurst Export Ltd. v. Mutual Boiler &amp; Machinery Insurance Co.</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Consolidated Bathurst</w:t>
      </w:r>
      <w:r>
        <w:rPr>
          <w:rFonts w:ascii="arial" w:eastAsia="arial" w:hAnsi="arial" w:cs="arial"/>
          <w:color w:val="000000"/>
          <w:sz w:val="20"/>
          <w:lang w:val="en-US" w:eastAsia="en-US" w:bidi="ar-SA"/>
        </w:rPr>
        <w:t xml:space="preserve">], and were recently confirmed by our Court of Appeal in </w:t>
      </w:r>
      <w:r>
        <w:rPr>
          <w:rFonts w:ascii="arial" w:eastAsia="arial" w:hAnsi="arial" w:cs="arial"/>
          <w:i/>
          <w:color w:val="000000"/>
          <w:sz w:val="20"/>
          <w:lang w:val="en-US" w:eastAsia="en-US" w:bidi="ar-SA"/>
        </w:rPr>
        <w:t>Wingtat Game Bird Packers (1993) Ltd. v. Aviva Insurance Co.</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2009 BCCA 343</w:t>
        </w:r>
      </w:hyperlink>
      <w:r>
        <w:rPr>
          <w:rFonts w:ascii="arial" w:eastAsia="arial" w:hAnsi="arial" w:cs="arial"/>
          <w:color w:val="000000"/>
          <w:sz w:val="20"/>
          <w:lang w:val="en-US" w:eastAsia="en-US" w:bidi="ar-SA"/>
        </w:rPr>
        <w:t xml:space="preserve"> at para. 18. In </w:t>
      </w:r>
      <w:r>
        <w:rPr>
          <w:rFonts w:ascii="arial" w:eastAsia="arial" w:hAnsi="arial" w:cs="arial"/>
          <w:i/>
          <w:color w:val="000000"/>
          <w:sz w:val="20"/>
          <w:lang w:val="en-US" w:eastAsia="en-US" w:bidi="ar-SA"/>
        </w:rPr>
        <w:t>Consolidated Bathurst</w:t>
      </w:r>
      <w:r>
        <w:rPr>
          <w:rFonts w:ascii="arial" w:eastAsia="arial" w:hAnsi="arial" w:cs="arial"/>
          <w:color w:val="000000"/>
          <w:sz w:val="20"/>
          <w:lang w:val="en-US" w:eastAsia="en-US" w:bidi="ar-SA"/>
        </w:rPr>
        <w:t>, the Supreme Court of Canada stated at 901 that the parties' intention is the first point of reference in interpreting insurance contracts: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normal rules of construction lead a court to search for an interpretation which, from the whole of the contract, would appear to promote or advance the true intent of the parties at the time of entry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this case, the Court is not asked to interpret a contract made between Lloyd's/Temple and either Lombard or Fireman's. Rather, the Court is asked to interpret the conference and Starfield policies; contracts between the conference and Lombard, and Starfield and Fireman's, respectively. There is no privity between the insurers. In a case such as this where an insured holds more than one insurance policy that covers the same risk, Bastarache J. in </w:t>
      </w:r>
      <w:r>
        <w:rPr>
          <w:rFonts w:ascii="arial" w:eastAsia="arial" w:hAnsi="arial" w:cs="arial"/>
          <w:i/>
          <w:color w:val="000000"/>
          <w:sz w:val="20"/>
          <w:lang w:val="en-US" w:eastAsia="en-US" w:bidi="ar-SA"/>
        </w:rPr>
        <w:t>Family Insurance Corp. v. Lombard Canada Ltd.</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2002 SCC 48</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[2002] 2 S.C.R. 695</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Family Insurance</w:t>
      </w:r>
      <w:r>
        <w:rPr>
          <w:rFonts w:ascii="arial" w:eastAsia="arial" w:hAnsi="arial" w:cs="arial"/>
          <w:color w:val="000000"/>
          <w:sz w:val="20"/>
          <w:lang w:val="en-US" w:eastAsia="en-US" w:bidi="ar-SA"/>
        </w:rPr>
        <w: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intention which the court seeks to determine is found by looking at the means by and extent to which each insurer has sought to limit its liability to the insured when the insured has purchased other policies covering the same risk. Thus, the interpretation exercise is concerned with determining the intentions of the insurers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proper instrument to determine the extent of each insurer's intention to limit its liability is the policy itself (</w:t>
      </w:r>
      <w:r>
        <w:rPr>
          <w:rFonts w:ascii="arial" w:eastAsia="arial" w:hAnsi="arial" w:cs="arial"/>
          <w:i/>
          <w:color w:val="000000"/>
          <w:sz w:val="20"/>
          <w:lang w:val="en-US" w:eastAsia="en-US" w:bidi="ar-SA"/>
        </w:rPr>
        <w:t>Family Insurance</w:t>
      </w:r>
      <w:r>
        <w:rPr>
          <w:rFonts w:ascii="arial" w:eastAsia="arial" w:hAnsi="arial" w:cs="arial"/>
          <w:color w:val="000000"/>
          <w:sz w:val="20"/>
          <w:lang w:val="en-US" w:eastAsia="en-US" w:bidi="ar-SA"/>
        </w:rPr>
        <w:t xml:space="preserve"> at para. 16). Insofar as they go beyond the terms of the policy, the unilateral and subjective intentions of the insurers, presumably unaware of one another at the time the contracts were made, are irrelevant (</w:t>
      </w:r>
      <w:r>
        <w:rPr>
          <w:rFonts w:ascii="arial" w:eastAsia="arial" w:hAnsi="arial" w:cs="arial"/>
          <w:i/>
          <w:color w:val="000000"/>
          <w:sz w:val="20"/>
          <w:lang w:val="en-US" w:eastAsia="en-US" w:bidi="ar-SA"/>
        </w:rPr>
        <w:t>Family Insurance</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Clause b.(2) of the conference and Starfield policies is not ambiguous. Where the insured has been added as an additional insured by attachment of an endorsement to any other primary insurance policy covering the same risk, the insurer intends to provide excess coverage. Where the insured has not been added as an additional insured by endorsement, the insurer intends to provide primary coverage. Put simply, unless the conference or Starfield has been added to the Unite policy by an endorsement, Lombard's and Fireman's intention, as unambiguously expressed in the policies, is to provide primary insurance to the conference and to Starfield.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has already been determined that the conference and Starfield have been added to the Unite policy by the certificates of insurance. Both are additional insureds under the Unite policy. To give effect to the insurers' intentions, it is therefore necessary to determine whether, in the circumstances of this case, this is the equivalent of having added the conference and Starfield to the Unite policy by attachment of an endorsement.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proposition that a certificate of insurance is equal to an endorsement has been met with some difficulty. </w:t>
      </w:r>
      <w:r>
        <w:rPr>
          <w:rFonts w:ascii="arial" w:eastAsia="arial" w:hAnsi="arial" w:cs="arial"/>
          <w:i/>
          <w:color w:val="000000"/>
          <w:sz w:val="20"/>
          <w:lang w:val="en-US" w:eastAsia="en-US" w:bidi="ar-SA"/>
        </w:rPr>
        <w:t>Couch on Insurance</w:t>
      </w:r>
      <w:r>
        <w:rPr>
          <w:rFonts w:ascii="arial" w:eastAsia="arial" w:hAnsi="arial" w:cs="arial"/>
          <w:color w:val="000000"/>
          <w:sz w:val="20"/>
          <w:lang w:val="en-US" w:eastAsia="en-US" w:bidi="ar-SA"/>
        </w:rPr>
        <w:t xml:space="preserve">, s. 40:30, an authority relied upon by the Supreme Court of Canada in </w:t>
      </w:r>
      <w:r>
        <w:rPr>
          <w:rFonts w:ascii="arial" w:eastAsia="arial" w:hAnsi="arial" w:cs="arial"/>
          <w:i/>
          <w:color w:val="000000"/>
          <w:sz w:val="20"/>
          <w:lang w:val="en-US" w:eastAsia="en-US" w:bidi="ar-SA"/>
        </w:rPr>
        <w:t>Family Insurance</w:t>
      </w:r>
      <w:r>
        <w:rPr>
          <w:rFonts w:ascii="arial" w:eastAsia="arial" w:hAnsi="arial" w:cs="arial"/>
          <w:color w:val="000000"/>
          <w:sz w:val="20"/>
          <w:lang w:val="en-US" w:eastAsia="en-US" w:bidi="ar-SA"/>
        </w:rPr>
        <w:t>, describes the effect of a certificate of insurance in the following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Certificates of insurance are often issued to the designated certificate holder as proof that the named insured has insurance to cover work or operations being performed for the certificate holder named as an additional insured on the named insured's insurance policy. </w:t>
      </w:r>
      <w:r>
        <w:rPr>
          <w:rFonts w:ascii="arial" w:eastAsia="arial" w:hAnsi="arial" w:cs="arial"/>
          <w:color w:val="000000"/>
          <w:sz w:val="20"/>
          <w:u w:val="single"/>
          <w:lang w:val="en-US" w:eastAsia="en-US" w:bidi="ar-SA"/>
        </w:rPr>
        <w:t>However, the presentation of a certificate of insurance alone does not create coverage or legal obligations between the insurer and certificate holder. Generally, a certificate of insurance is not considered to be a part of the insurance contract; it is merely evidence of the insurance.</w:t>
      </w:r>
      <w:r>
        <w:rPr>
          <w:rFonts w:ascii="arial" w:eastAsia="arial" w:hAnsi="arial" w:cs="arial"/>
          <w:color w:val="000000"/>
          <w:sz w:val="20"/>
          <w:lang w:val="en-US" w:eastAsia="en-US" w:bidi="ar-SA"/>
        </w:rPr>
        <w:t xml:space="preserve"> Accordingly, a certificate of insurance cannot contradict the terms of a policy but instead only provides information as to the contents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above principles, a certificate of insurance cannot create a contractual relationship between an insurer and an alleged insured if the policy itself does not provide for such a relationship. In other words, no additional insured relationship exists where a certificate of insurance has been issued identifying an individual as an additional insured without corresponding language in the policy or endorsement thereto which would include that individual or entity as an additional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Premiere submits that the U.S. case </w:t>
      </w:r>
      <w:r>
        <w:rPr>
          <w:rFonts w:ascii="arial" w:eastAsia="arial" w:hAnsi="arial" w:cs="arial"/>
          <w:i/>
          <w:color w:val="000000"/>
          <w:sz w:val="20"/>
          <w:lang w:val="en-US" w:eastAsia="en-US" w:bidi="ar-SA"/>
        </w:rPr>
        <w:t>W9/PHC Real Estate LP v. Farm Family Casualty Insurance Company</w:t>
      </w:r>
      <w:r>
        <w:rPr>
          <w:rFonts w:ascii="arial" w:eastAsia="arial" w:hAnsi="arial" w:cs="arial"/>
          <w:color w:val="000000"/>
          <w:sz w:val="20"/>
          <w:lang w:val="en-US" w:eastAsia="en-US" w:bidi="ar-SA"/>
        </w:rPr>
        <w:t>, 407 N.J. Super. 177, 970 A.2d 382 (N.J. Sup. Ct. App. Div.) [</w:t>
      </w:r>
      <w:r>
        <w:rPr>
          <w:rFonts w:ascii="arial" w:eastAsia="arial" w:hAnsi="arial" w:cs="arial"/>
          <w:i/>
          <w:color w:val="000000"/>
          <w:sz w:val="20"/>
          <w:lang w:val="en-US" w:eastAsia="en-US" w:bidi="ar-SA"/>
        </w:rPr>
        <w:t>W9/PHC Real Estate</w:t>
      </w:r>
      <w:r>
        <w:rPr>
          <w:rFonts w:ascii="arial" w:eastAsia="arial" w:hAnsi="arial" w:cs="arial"/>
          <w:color w:val="000000"/>
          <w:sz w:val="20"/>
          <w:lang w:val="en-US" w:eastAsia="en-US" w:bidi="ar-SA"/>
        </w:rPr>
        <w:t>] accepts that where coverage is found to be afforded by a certificate of insurance, but the policy itself is not endorsed to add the certificate holder as an additional insured, then an excess other insurance clause with wording the same as that contained in the conference and Starfield policies is not engaged. While turning to U.S. jurisprudence can be useful in interpreting similarly worded insurance policies (</w:t>
      </w:r>
      <w:r>
        <w:rPr>
          <w:rFonts w:ascii="arial" w:eastAsia="arial" w:hAnsi="arial" w:cs="arial"/>
          <w:i/>
          <w:color w:val="000000"/>
          <w:sz w:val="20"/>
          <w:lang w:val="en-US" w:eastAsia="en-US" w:bidi="ar-SA"/>
        </w:rPr>
        <w:t>Commerce Capital Trust Co. v. Continental Insurance Co.</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(1982), 36 O.R. (2d) 38</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133 D.L.R. (3d) 459</w:t>
        </w:r>
      </w:hyperlink>
      <w:r>
        <w:rPr>
          <w:rFonts w:ascii="arial" w:eastAsia="arial" w:hAnsi="arial" w:cs="arial"/>
          <w:color w:val="000000"/>
          <w:sz w:val="20"/>
          <w:lang w:val="en-US" w:eastAsia="en-US" w:bidi="ar-SA"/>
        </w:rPr>
        <w:t xml:space="preserve"> (H.C.J.); </w:t>
      </w:r>
      <w:r>
        <w:rPr>
          <w:rFonts w:ascii="arial" w:eastAsia="arial" w:hAnsi="arial" w:cs="arial"/>
          <w:i/>
          <w:color w:val="000000"/>
          <w:sz w:val="20"/>
          <w:lang w:val="en-US" w:eastAsia="en-US" w:bidi="ar-SA"/>
        </w:rPr>
        <w:t>Foodpro National Inc. v. General Accident Insurance Co. of Canada</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(1986), 24 C.C.L.I. 227</w:t>
        </w:r>
      </w:hyperlink>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57 O.R. (2d) 489</w:t>
        </w:r>
      </w:hyperlink>
      <w:r>
        <w:rPr>
          <w:rFonts w:ascii="arial" w:eastAsia="arial" w:hAnsi="arial" w:cs="arial"/>
          <w:color w:val="000000"/>
          <w:sz w:val="20"/>
          <w:lang w:val="en-US" w:eastAsia="en-US" w:bidi="ar-SA"/>
        </w:rPr>
        <w:t xml:space="preserve"> (H.C.J.); </w:t>
      </w:r>
      <w:r>
        <w:rPr>
          <w:rFonts w:ascii="arial" w:eastAsia="arial" w:hAnsi="arial" w:cs="arial"/>
          <w:i/>
          <w:color w:val="000000"/>
          <w:sz w:val="20"/>
          <w:lang w:val="en-US" w:eastAsia="en-US" w:bidi="ar-SA"/>
        </w:rPr>
        <w:t>Gulf Plastics Ltd. v. Cornhill Insurance Co.</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46 C.C.L.I. 144</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47 B.C.L.R. (2d) 379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W9/PHC Real Estate</w:t>
      </w:r>
      <w:r>
        <w:rPr>
          <w:rFonts w:ascii="arial" w:eastAsia="arial" w:hAnsi="arial" w:cs="arial"/>
          <w:color w:val="000000"/>
          <w:sz w:val="20"/>
          <w:lang w:val="en-US" w:eastAsia="en-US" w:bidi="ar-SA"/>
        </w:rPr>
        <w:t xml:space="preserve"> is of no assistance in this case. Neither the trial nor the appellate decision contains any legal analysis of whether a certificate indicating that an insured has been added as an additional insured constitutes attachment of an endorsement when an endorsement has not been issued. In vacating the trial decision, the appellate court merely accepted, without deciding, the parties' position that the excess insurance clause in question was not engaged because an endorsement was never signed. Indeed, the little case law that exists on this point appears to be very factually driven and dependent on the parties' admissions. In </w:t>
      </w:r>
      <w:r>
        <w:rPr>
          <w:rFonts w:ascii="arial" w:eastAsia="arial" w:hAnsi="arial" w:cs="arial"/>
          <w:i/>
          <w:color w:val="000000"/>
          <w:sz w:val="20"/>
          <w:lang w:val="en-US" w:eastAsia="en-US" w:bidi="ar-SA"/>
        </w:rPr>
        <w:t>Mercer v. Paradise (Town),</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91 Nfld. &amp; P.E.I.R. 198</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47 C.L.R. 75</w:t>
        </w:r>
      </w:hyperlink>
      <w:r>
        <w:rPr>
          <w:rFonts w:ascii="arial" w:eastAsia="arial" w:hAnsi="arial" w:cs="arial"/>
          <w:color w:val="000000"/>
          <w:sz w:val="20"/>
          <w:lang w:val="en-US" w:eastAsia="en-US" w:bidi="ar-SA"/>
        </w:rPr>
        <w:t xml:space="preserve"> (Nfld. S.C.T.D.), the only other similar Canadian case brought to the Court's attention, an additional insured sought coverage under a policy with an endorsement which contemplated that the policy may cover more than one insured, but there was nothing in the endorsement itself which specifically purported to add the insured. The court accepted, without further analysis, the insurer's admission that on the facts of that case, the certificate of insurance naming the insured was sufficient to add the additional insured to the policy without a specific endorsement. It was not required to decide whether the certificate in law had the effect of adding a party as an additional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This case, as are the other cases cited to the Court, is intensely fact driven. While it is true that generally the certificate of insurance itself does not provide coverage, in this case, Jones Deslauriers' practice of issuing additional insured certificates to the conference and Starfield was the equivalent of adding those parties to the Unite policy by endorsement. The parties' own agreement that issuing a certificate without an additional insured endorsement was sufficient to add the conference and Starfield to the Unite policy is a significant indicator that the certificate of insurance creates the coverage in this case. There was evidence that the general practice in the industry at the time with respect to policies of insurance for promoters was that where the broker had the authority to issue certificates for a particular, limited purpose, additional insured endorsements were not issued by the insurer. Premiere admitted as much, stating that issuing additional insured endorsements for every particular purpose would involve excessive paperwork. Rather, Premiere would approve additional insured certificates but not issue endorsements. With the exception of the Walk of Fame event where approval from Premiere was sought to expand the scope of the insurance coverage to add a professional fees endorsement to the coverage, and in the circumstances where it was found that Jones Deslauriers had the authority to issue additional insured certificates on Unite's policy on behalf of Premiere, the certificate served as the insurance policy itself, and no additional insured endorsements were required to add insureds to the Unite policy. There was no expectation on the part of anyone involved that approval would be specifically given for each certificate or that there would be any communication concerning approval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This peculiar factual matrix establishes that the conference and Starfield were in fact added as additional insureds by attachment of an endorsement to the Unite policy through the issuance of a certificate. Not only did the additional insured certificates perform a function indistinguishable from that of an endorsement, they constituted the endorsement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Lombard and Fireman's intention, as clearly expressed in the conference and Starfield polices is applied against this conclusion, it follows that clause b.(2) of the conference and Starfield policies is engaged. The Lombard and Fireman's policies are excess to the Unite policy.</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coverage have been available to the conference for construction and design claims if the certificate issued to it had limited its status as an additional insured to the "liability arising out of the operations of Unite"?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revised notice of motion of Lloyd's/Temple, the insurers sought a declaration that Lloyd's/Temple were entitled to damages from Jones Deslauriers for amounts paid under the Unite policy for the defence of the conference in relation to design and construction claims if these claims would not have been within the category of risk covered by the Unite policy if Jones Deslauriers had included language in the certificate of insurance limiting the coverage to liability arising out of the operations of Unite. The original application had also sought a declaration with respect to damages for any ultimate indemnity that might be paid. However, this was abandoned and the revised notice of motion filed, limiting the declaration to damages arising from defence of the conference. The revised motion is based upon the premise that any implied authorization from Premiere to Jones Deslauriers to add additional insureds to the Unite policy by issuance of certificates of insurance required Jones Deslauriers to include the words: "with respect to liability arising out of the operations of the named insured" (the "named insured operations limitation" or the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Lloyd's/Temple clarified in reply that their submission is simple: "... the implied authority of Jones Deslauriers to issue certificates to additional insureds ... required the wording to be included." Lloyd's/Temple submit that this was understood by Jones Deslauriers and evidenced by its actual conduct to a certain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Jones Deslauriers argued that there was no evidence that the wording was required to be used either by contract, express instruction or standard usage in the industry and that even if the wording had been included, the scope of coverage obligations would be unchanged. Jones Deslauriers also says that the certificates would have been accepted without the wording in any event and so Jones Deslauriers is not the proximate cause of any loss or damage to Lloyd's/Temple.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not contested that the first time that Lloyd's/Temple, through Premiere, expressly told Jones Deslauriers that the named insured operations limitation was required on certificates of insurance was on June 24, 2008, when Jordan advised Gori by email. Jordan said: "... in no circumstances would we add venues as additional insureds without the limiting language 'but only with respect to liability arising out of the operations of the Named Insured', which you are not using on these certificates". This was the first communication from Premiere that there were particular procedures to be followed. Premiere had not requested to approve the template that Jones Deslauriers used for certificates of insurance prior to this. The evidence shows that, in fact, Premiere added many venues without the wording or with variations on the wording, none of which attracted any attention from Premiere.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accept the submissions of Jones Deslauriers that the evidence reveals that there were eight variations of language used in the Description of Operations box on the certificates that were issued by Jones Deslauriers. For example, the first certificate issued on the Unite account on May 2, 2005 included a variation on the wording as described in paragraph 17 above. The junior underwriter from Premiere, who responded to receipt of the certificate after the date of the event, did not suggest that the wording was inaccurate. Nor did he or anyone else at Premiere, including Andrews who had seen the certificate, request that the wording be specific as suggested in the June 24, 2008 email. Although Andrews deposed that she would have told her junior underwriter that brokers must send Premiere a draft certificate asking for approval, this was not conveyed to Jones Deslauriers by either Andrews or her junior underwriter at this or at any time prior to June 2008 and it was never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Subsequent certificates that were issued on the Canada Walk of Fame account through Jones Deslauriers also did not include the wording, but had a variation thereof that said "... with respect to liability arising out of the business operations of the Named Insured". The two endorsements that were issued by Premiere on July 18, 2005 and that were backdated to May 27, 2005 to effect an expansion of coverage to add professional fees for one event included the wording in the first endorsement. However, Premiere did not take this opportunity to advise Jones Deslauriers of its specific wording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nine certificates issued by Egelton in February 2007 omitted the wording or any form thereof entirely. The seven certificates issued by Gori in May 2007 contained various variations on the wording. However, all certificates issued by Gori after that time, including in October 2007 and April 2008, did not include the wording. She explained upon discovery that she must have deleted the wording from the template by mistake; however, she also said that nothing was really required to be entered and that the named insured operations limitation was not required in practice. Tran said that he did not review the certificates to ensure that they included the wording, even though he was trained and did review the certificates for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the early interactions between Jones Deslauriers and Premiere fall short of establishing that Jones Deslauriers understood that there was a restriction on the scope of its authority to issue certificates that only included the wording. No approval requirements for certificates were ever communicated to Jones Deslauriers and no comment was ever made about the content of any required wording until June 2008. In any event, Premiere did not respond to the failure to include a variation of the wording after October 2007. Premiere and Lloyd's/Temple have not argued that the standard or custom in the industry requires such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these circumstances, Lloyd's/Temple have not proven that the requirement for the wording in additional insured certificates was included in the implied authority granted to Jones Deslauriers. It follows that their application for a declaration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even if the authority had included such a requirement, I find that the application should be dismissed because interpretation of the named insured operations limitation dictates that even if the wording had been included on the certificate, Lloyd's/Temple would still be required to defend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Lloyd's/Temple submit that the allegations involving the negligent design and construction of the church building give rise to liability on the part of the conference but do not fall within the scope of the named insured operations exclusion, since such conduct does not "arise out of the operations" of Unite. They submit that such conduct preceded and was unrelated to the concert held at the building. Jones Deslauriers submits that a certificate containing the named insured operations limitation extends coverage to the additional insured for its own independent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long as the injury to which the allegations pertain "arise out of the operations" of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law on the duty to defend, briefly stated, is that where the pleadings allege facts that, if true, would require the insurer to indemnify the insured for a claim, then the insurer has a duty to defend. It is not necessary to prove that the claims will fall within coverage, only that there is a possibility that they will do so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at paras. 28-36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By contrast, where it is clear from the pleadings that a suit falls outside policy coverage by reason of an exclusion clause, the duty to defend does not arise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Whether a duty to defend exists in any given situation requires an assessment of the pleadings to ascertain the substance and true nature of the claims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Insurers of the named insured frequently argue that they are not liable to defend the additional insured on the basis that the allegations against the additional insured arise out of the additional insured's independent actions and do not "arise out of the operations" of the named insured. Several British Columbia decisions have had occasion to interpret the words "arising out of the operations" of the named insured in this context. In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1999 BCCA 129</w:t>
        </w:r>
      </w:hyperlink>
      <w:r>
        <w:rPr>
          <w:rFonts w:ascii="arial" w:eastAsia="arial" w:hAnsi="arial" w:cs="arial"/>
          <w:color w:val="000000"/>
          <w:sz w:val="20"/>
          <w:lang w:val="en-US" w:eastAsia="en-US" w:bidi="ar-SA"/>
        </w:rPr>
        <w:t xml:space="preserve"> at para. 11, aff'd </w:t>
      </w:r>
      <w:hyperlink r:id="rId639"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Madam Justice Southin endorsed a broad reading of the words in favour of coverage for the additional insured: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put it another way, the claim in the underlying action is a claim "arising out of" this project. I do not find it necessary to refer to the authorities quoted ... on the meaning of the phrase "arising out of". Suffice it to say that if this project had not existed, there would have been no claim, ergo the claim arises out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Cowichan Valley School District No. 79 v. Lloyd's Underwriters</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2003 BCSC 1303</w:t>
        </w:r>
      </w:hyperlink>
      <w:r>
        <w:rPr>
          <w:rFonts w:ascii="arial" w:eastAsia="arial" w:hAnsi="arial" w:cs="arial"/>
          <w:color w:val="000000"/>
          <w:sz w:val="20"/>
          <w:lang w:val="en-US" w:eastAsia="en-US" w:bidi="ar-SA"/>
        </w:rPr>
        <w:t>, the additional insured school district sought an order that Lloyd's be required to defend claims brought against it by a player who was injured in a softball game organized by the named insured on the field owned by the district. At issue was whether the allegations against the district, including a failure to properly maintain the field, "arose out of" the operations of the named insured. In allowing the school's motion, Rogers J. held that M's claim was clearly associated with the very activity that Lloyd's agreed to insure, playing baseball. Had the injury occurred in the field's parking lot when a tile fell off the roof and struck him, then it would have been simple to draw a distinction between the named insured's hosting of the tournament and the additional insured's obligation to keep the roof in good repair. However, the injury clearly arose out of the named insured's operations in hosting the tournament, and as such, Lloyd's was required to defend the additional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Penticton (City) v. AXA Pacific Insurance Co.</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2009 BCSC 1404</w:t>
        </w:r>
      </w:hyperlink>
      <w:r>
        <w:rPr>
          <w:rFonts w:ascii="arial" w:eastAsia="arial" w:hAnsi="arial" w:cs="arial"/>
          <w:color w:val="000000"/>
          <w:sz w:val="20"/>
          <w:lang w:val="en-US" w:eastAsia="en-US" w:bidi="ar-SA"/>
        </w:rPr>
        <w:t>, in the course of roadwork for the city, a contractor removed a stop sign and a motor vehicle accident occurred. The city, an additional insured under the named insured contractor's insurance policy, sought a declaration that it was entitled to contribution from the named insured's insurer for legal costs incurred in defending claims against it stemming from the accident. In adopting Southin J.A.'s simple test, the court held that, had the project not existed, there would have been no claim. The insurer had a duty to defend the city as the claims against the city in all arose out of the operations of the named insured and did not arise independently as a result of the city failing to replace the stop sign as stipulated in its contract with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Liu v. Chu</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2009 BCSC 753</w:t>
        </w:r>
      </w:hyperlink>
      <w:r>
        <w:rPr>
          <w:rFonts w:ascii="arial" w:eastAsia="arial" w:hAnsi="arial" w:cs="arial"/>
          <w:color w:val="000000"/>
          <w:sz w:val="20"/>
          <w:lang w:val="en-US" w:eastAsia="en-US" w:bidi="ar-SA"/>
        </w:rPr>
        <w:t>, an employee of a bakery in a mall struck and injured the plaintiff in a parking lot while delivering goods on a cart in the course of employment. The plaintiff commenced an action and named as parties the employee, the bakery, and the mall, which was an additional insured on the bakery's insurance policy with Sovereign. In holding that Sovereign was obliged to defend the mall, Russell J. stated that there was a nexus between the plaintiff's claim and the coverage that Sovereign agreed to provide the bakery. The bakery employee's delivery of goods to its premises in the mall clearly "arose out of" the bakery's operations, not the mall's independent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While not directly challenging the above principles, Lloyd's/Temple argue that the named insured operations exclusion does not oblige the named insured's insurer to defend the additional insured where the allegations against the additional insured are independent of the named insured's operations. However, the two cases cited by Lloyd's/Temple are distinguishable. The first case, </w:t>
      </w:r>
      <w:r>
        <w:rPr>
          <w:rFonts w:ascii="arial" w:eastAsia="arial" w:hAnsi="arial" w:cs="arial"/>
          <w:i/>
          <w:color w:val="000000"/>
          <w:sz w:val="20"/>
          <w:lang w:val="en-US" w:eastAsia="en-US" w:bidi="ar-SA"/>
        </w:rPr>
        <w:t>D'Cruz v. B.P. Landscaping Ltd.</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[2007] O.J. No. 2704</w:t>
        </w:r>
      </w:hyperlink>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2007 CarswellOnt 438</w:t>
        </w:r>
      </w:hyperlink>
      <w:r>
        <w:rPr>
          <w:rFonts w:ascii="arial" w:eastAsia="arial" w:hAnsi="arial" w:cs="arial"/>
          <w:color w:val="000000"/>
          <w:sz w:val="20"/>
          <w:lang w:val="en-US" w:eastAsia="en-US" w:bidi="ar-SA"/>
        </w:rPr>
        <w:t xml:space="preserve"> (Sup. Ct. J.), does not consider the words "arising out of" and is of no assistance in this case. In the second case cited by Lloyd's/Temple, </w:t>
      </w:r>
      <w:r>
        <w:rPr>
          <w:rFonts w:ascii="arial" w:eastAsia="arial" w:hAnsi="arial" w:cs="arial"/>
          <w:i/>
          <w:color w:val="000000"/>
          <w:sz w:val="20"/>
          <w:lang w:val="en-US" w:eastAsia="en-US" w:bidi="ar-SA"/>
        </w:rPr>
        <w:t>Atlific Hotels &amp; Resorts v. Aviva Insurance Company of Canada</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73 C.C.L.I. (4th) 294</w:t>
        </w:r>
      </w:hyperlink>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97 O.R. (3d) 233</w:t>
        </w:r>
      </w:hyperlink>
      <w:r>
        <w:rPr>
          <w:rFonts w:ascii="arial" w:eastAsia="arial" w:hAnsi="arial" w:cs="arial"/>
          <w:color w:val="000000"/>
          <w:sz w:val="20"/>
          <w:lang w:val="en-US" w:eastAsia="en-US" w:bidi="ar-SA"/>
        </w:rPr>
        <w:t xml:space="preserve"> (Sup. Ct. J.), the plaintiff who slipped and fell at a resort sued both the resort and the contractor who had the snow removal contract at the time. The claims made by the plaintiff included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all defendants in removing the snow and 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hotel in the operation and management of the hotel. The contractor's insurance policy added the hotel as an additional insured, but only with respect to liability arising out of the contractor's operations. Unlike in this case, the true nature of the claim did not arise out of the named insured's operations. The claims against the hotel were independent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removing the snow and ice, and the hotel was obliged to defend the other claims on its own. Thus, </w:t>
      </w:r>
      <w:r>
        <w:rPr>
          <w:rFonts w:ascii="arial" w:eastAsia="arial" w:hAnsi="arial" w:cs="arial"/>
          <w:i/>
          <w:color w:val="000000"/>
          <w:sz w:val="20"/>
          <w:lang w:val="en-US" w:eastAsia="en-US" w:bidi="ar-SA"/>
        </w:rPr>
        <w:t>Atlific</w:t>
      </w:r>
      <w:r>
        <w:rPr>
          <w:rFonts w:ascii="arial" w:eastAsia="arial" w:hAnsi="arial" w:cs="arial"/>
          <w:color w:val="000000"/>
          <w:sz w:val="20"/>
          <w:lang w:val="en-US" w:eastAsia="en-US" w:bidi="ar-SA"/>
        </w:rPr>
        <w:t xml:space="preserve"> merely upholds the principle in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that where it is clear from the pleadings that a suit falls outside policy coverage, the duty to defend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Like in </w:t>
      </w:r>
      <w:r>
        <w:rPr>
          <w:rFonts w:ascii="arial" w:eastAsia="arial" w:hAnsi="arial" w:cs="arial"/>
          <w:i/>
          <w:color w:val="000000"/>
          <w:sz w:val="20"/>
          <w:lang w:val="en-US" w:eastAsia="en-US" w:bidi="ar-SA"/>
        </w:rPr>
        <w:t>Cowichan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Penticton</w:t>
      </w:r>
      <w:r>
        <w:rPr>
          <w:rFonts w:ascii="arial" w:eastAsia="arial" w:hAnsi="arial" w:cs="arial"/>
          <w:color w:val="000000"/>
          <w:sz w:val="20"/>
          <w:lang w:val="en-US" w:eastAsia="en-US" w:bidi="ar-SA"/>
        </w:rPr>
        <w:t xml:space="preserve">, the allegations in this case are clearly connected to the very operation that Lloyd's/Temple agreed to insure. As Southin J.A. stated in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"[s]uffice it to say that if this project had not existed, there would have been no claim, ergo the claim arises out of it." Had the promoter not put on the concert, then no injuries would have occurred. Thus, the potential liability arises out of the operations of the insured, Unite, and there would be no restrictions upon the coverage potentially available to the conference and the other additional insureds even if the wording had been included in the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not necessary to consider the third argument of Jones Deslauriers. The answer to the third issue is that coverage would have been available to the conference for construction and design claims even with the named insured operations limitation. It follows that Lloyd's/Temple's application for a declaration that they are entitled to damages from Jones Deslauriers for amounts paid in defence of the conference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Court declares that the conference, Starfield, and Shane &amp; Shane are additional insureds under the Unite policy with Lloyd's/Temple. This Court also declares that conference and Starfield policies are excess to the primary Unite policy. The application of Lloyd's/Temple for a declaration that they are entitled to damages against Jones Deslauriers for amounts paid to defend the claim against the conference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parties may speak to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J.R. DILLON J.:-- This is a corrigendum to my Reasons for Judgment dated June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On the cover page, counsel of record is amended to show that J.D. Ankenman was counsel for Starfield only, and not Unite Productions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In the fourth sentence of paragraph 10, the words "through its President, Paul Kelly ("Kelly")" will be removed. That sentence will now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Unite worked to promote and market the concert, selected the premises as the venue for the concert, reviewed and signed agreements related to the use of the premises for the concert, paid the conference for use of the premises, assisted in the loading and setting up of equipment for the concert, and was involved with the front door, ticket sales, ushering, security and volunteers for the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In the last sentence of paragraph 10, the words "Paul Kelly ("Kelly"), President of Unite" will replace the word "Kelly". That sentence will now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 Kelly ("Kelly"), President of Unite, signed an agreement with the conference on February 19, 2008 which obliged Unite to cause the conference to be added as an additional insured to the Unite policy and to furnish a copy of the certificate of insurance confirming this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Wong v. Spittal, [2018] B.C.J. No. 3415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M157566, M157576, M165564, M166164, M166225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1795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King Bun Wong, Plaintiff, and Brian Spittal, Western Bus Lines Ltd., Canam Super Vacation Inc., d.b.a. Super Vacation, Prévost, A Division of Volvo Group Canada Inc., Mark Yu, Universal Coach Line Ltd., ABC Company No. 1, America Asia Travel Centre Inc., Her Majesty the Queen in right of the Province of British Columbia, as represented by the Ministry of Transportation and Infrastructure, VSA Highway Maintenance Ltd., City of Merritt, ABC Company No. 2, Defendants, and Canam Super Vacation Inc. doing business as Super Vacation, Brian Spittal, Western Bus Lines Ltd., Universal Coach Line Ltd., Third Party And between Alexandria Sham, by her Litigation Guardian, Christopher Sham, Plaintiff, and Brian Spittal, Western Bus Lines Ltd., Canam Super Vacation Inc., d.b.a. Super Vacation, Prévost, A Division of Volvo Group Canada Inc., and Mark Yu, Defendants And between Jade Sin-Yiu Lau an infant by her Litigation Guardian, Lai-Kuen "Jobe" Lau, Plaintiff, and Brian Spittal, Western Bus Lines Ltd., Sunwest Tours (1986) Ltd., Mark Yu, Canam Super Vacation Inc. d.b.a. Super Vacation, Prevost, A Division of Volvo Group Canada Inc., Defendants And between Hua Li Pan, Plaintiff, and Brian Spittal, Western Bus Lines Ltd., Canam Super Vacation Inc. d.b.a. Super Vacation, Prevost, A Division of Volvo Group Canada Inc., and Tat Chi Yu also known as Mark Ewan and Mark You, Defendants And between Yu-Te Su, Plaintiff, and Brian Spittal, Western Bus Lines Ltd., Canam Super Vacation Inc. d.b.a. Super Vacation, Prevost, A Division of Volvo Group Canada Inc., and Tat Chi Mark Yu,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34"/>
      <w:bookmarkEnd w:id="218"/>
      <w:r>
        <w:rPr>
          <w:rFonts w:ascii="arial" w:eastAsia="arial" w:hAnsi="arial" w:cs="arial"/>
          <w:b/>
          <w:color w:val="000000"/>
          <w:sz w:val="20"/>
          <w:lang w:val="en-US" w:eastAsia="en-US" w:bidi="ar-SA"/>
        </w:rPr>
        <w:t>Civil litigation — Civil procedure — Parties — Adding or substituting — After expiry of limitation period — Applications by the plaintiffs to add new defendants allowed — The defendant Spittal was driving a tour bus carrying more than 50 passengers when he lost control of the vehicle and it flipped over — Many plaintiffs were seeking compensation for injuries — The four proposed defendants were Universal Coach Line, Super Coach, Lau, and Chan — Lau and Chan were directors of the defendant Super Vacation and Chan was also the sole director of Super Coach — The allegations against the proposed defendants were not frivolous — It was just and convenient to add the proposed defendants as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Parties — Adding or striking out parties — Applications by the plaintiffs to add new defendants allowed — The defendant Spittal was driving a tour bus carrying more than 50 passengers when he lost control of the vehicle and it flipped over — Many plaintiffs were seeking compensation for injuries — The four proposed defendants were Universal Coach Line, Super Coach, Lau, and Chan — Lau and Chan were directors of the defendant Super Vacation and Chan was also the sole director of Super Coach — The allegations against the proposed defendants were not frivolous — It was just and convenient to add the proposed defendants as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Workplace health, safety and compensation law — Workplace health and safety — Offences and enforcement — Procedure — Applications by the plaintiffs to add new defendants allowed — The defendant Spittal was driving a tour bus carrying more than 50 passengers when he lost control of the vehicle and it flipped over — Many plaintiffs were seeking compensation for injuries — The four proposed defendants were Universal Coach Line, Super Coach, Lau, and Chan — Lau and Chan were directors of the defendant Super Vacation and Chan was also the sole director of Super Coach — The allegations against the proposed defendants were not frivolous — It was just and convenient to add the proposed defendants as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31"/>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plaintiffs to add new defendants and to amend the notices of civil claim accordingly. On August 28, 2014, a single vehicle accident occurred. The defendant Spittal was driving a tour bus carrying more than 50 passengers when he lost control of the vehicle and it flipped over. Many plaintiffs were seeking compensation for injuries and there were 54 actions arising from the accident. The passengers booked their tours with the defendant Canam Super Vacation, which contracted with Universal Coach Line for ground transportation. Universal subcontracted the ground transportation to the defendant Western Bus Lines. The four proposed defendants were Universal Coach Line, Super Coach, Lau, and Chan. Lau and Chan were directors of Super Vacation and Chan was also the sole director of Super Coach. The addition of Universal as a defendant was not opposed. The plaintiffs took the position that Super Coach and Super Vacation were partners and that Super Coach was liable for the actions of Super Vacation. Super Coach argued that there was no evidence that the two entities were carrying on business in common. The plaintiffs also argued that Lau and Chan had a statutory duty to ensure that the companies complied with the Workers Compensation Act (WCA). The plaintiffs alleged that a breach of the statutory duty created an unsafe workplace for the employees, contractors, and customers of Super Vacation. The plaintiffs further alleged that the breach was a cause of the accident and gave rise to a cause of action against Lau and Chan. The plaintiffs also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Chan and Lau in their capacity as employees of Super Vacation and/or Super Coach. Lau and Chan took the position that the standard rules of foreseeability, proximity, causation, and remoteness weighed heavily against the granting of an order. They further argued that the court had no jurisdiction to consider an allegation of a breach of any standard within the WCA. Finally, Lau and Chan argued that the application was brought beyond the limitation date.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0" w:name="Holdings of Court_26"/>
            <w:bookmarkEnd w:id="220"/>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it was not clear that Super Vacation and Super Coach were in a partnership, there was some evidence that the two entities were partners. The allegations were not frivolous. Since there was no suggestion that the plaintiffs had any way of knowing about Super Coach's involvement in Super Vacation's operations before Lau's examination for discovery, the limitation date did not run. Super Coach was to be added as a party. The allegation relating to the WCA was not frivolous. Whether the duty imposed by section 121 of the WCA could result in possible tort liability was a question for trial. The issues of foreseeability, proximity, causation, and remoteness were not considerations at this time. There was no suggestion that the ability of Lau and Chan to mount a defence would be affected by the delay. It was just and convenient to add Lau and Chan as parties after the expiration of the limitation date.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1" w:name="Legislation Cited_14"/>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Partnership Act, </w:t>
      </w:r>
      <w:hyperlink r:id="rId655" w:history="1">
        <w:r>
          <w:rPr>
            <w:rFonts w:ascii="arial" w:eastAsia="arial" w:hAnsi="arial" w:cs="arial"/>
            <w:i/>
            <w:color w:val="0077CC"/>
            <w:sz w:val="20"/>
            <w:u w:val="single"/>
            <w:shd w:val="clear" w:color="auto" w:fill="FFFFFF"/>
            <w:lang w:val="en-US" w:eastAsia="en-US" w:bidi="ar-SA"/>
          </w:rPr>
          <w:t>R.S.B.C. 1996, c. 348, s. 2</w:t>
        </w:r>
      </w:hyperlink>
      <w:r>
        <w:rPr>
          <w:rFonts w:ascii="arial" w:eastAsia="arial" w:hAnsi="arial" w:cs="arial"/>
          <w:color w:val="000000"/>
          <w:sz w:val="20"/>
          <w:lang w:val="en-US" w:eastAsia="en-US" w:bidi="ar-SA"/>
        </w:rPr>
        <w:t>,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6-2(7)(b), Rule 6-2(7)(c)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113(1), s. 121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2" w:name="Counsel_34"/>
      <w:bookmarkEnd w:id="2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in Action No. M157566 and others: L.W.V. Cheung, R.W. Prokopishin.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in Action No. M157576 and others: R. Marcoux.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in Action No. M165564 and others: P.J. Bosco, M.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in Action No. M166164 and others: W.E. Derber.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in Action No. M166225 and others: C.L. Linegar.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Canam Super Vaction Inc. d.b.a. Super Vacation, Laurels Lau and Paul Chan: A.M. Ross J. McGregor.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667741 BC Ltd. operating as Super Coach: M.A.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34"/>
      <w:bookmarkEnd w:id="223"/>
      <w:r>
        <w:pict>
          <v:line id="_x0000_s1188"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S.F. KELLEHER J."/>
            <w:bookmarkEnd w:id="224"/>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decision addresses several applications to add new parties and to amend Notices of Civil Claim accordingly. The applications are brought pursuant to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 6-2(7)(b) and (c):</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proposed defendants are: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Universal Coach Line Ltd. ("Universal");</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667741 B.C. Ltd. doing business as Super Coach (referred to herein as "667" or "Super Coach");</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Laurels Tak Lau;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Paul Tao Way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Chan and Mr. Lau are directors of Super Vacation. Mr. Chan is also the sole director of Super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addition of Universal as a defendant is not opposed. Universal is already a defendant in some of the 54 actions related to this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There are also applications to amend the pleadings to add the claims of provincial governments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and similar legislation in other provinces. These latter amendments are allowed, depending on the provinces in which each plaintiff received health 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August 28, 2014, a motor vehicle accident occurred on Highway 97C south of the City of Merritt, BC. It was a single vehicle accident. The defendant, Brian Spittal, was driving a tour bus carrying more than 50 passengers. He lost control of the vehicle and it flipped over. There were no fatalities but the many plaintiffs seek compensation for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54 actions arising from this accident brought mainly by passengers. The plaintiffs and action numbers are listed in the Appendix to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passengers booked their tours with the tour operator, the defendant, Canam Super Vacation Inc., doing business as Super Vacation ("Super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Super Vacation contracted with Universal for ground transportation. Universal in turn subcontracted the ground transportation to the defendant, Western Bus Lines Ltd. ("Western Bus"). The driver, Brian Spittal, was employed by Western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Mark Yu, was on the bus serving as a tour guide. He was an employee of Super Vacations. Mr. Yu was injured and is also one of the 54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Additional defendants include the highway maintenance contractor, the manufacturer of the bus,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January 11, 2018, Super Vacation produced an amended list of documents, including:</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syllabus for Super Vacation's tour conductor training program for 2014;</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signed by Mark Yu on September 13, 2013 outlining rules from the Department of Transportation;</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signed by Mark Yu on April 10, 2013, titled "Super Coach Ltd. Disciplinary Policy and Process"; and</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signed by Mark Yu on July 10, 2013, titled "Laws, Regulations and Expectations".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Lau's Testimony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Lau was examined for discovery as a representative of Super Vacation on February 7, 8 and 13. The plaintiffs say Mr. Lau gave the following testimony on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Lau and Mr. Chan's Positions at Super Vacation and Super Coach:</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of Super Vacation are Mr. Lau and Mr. Chan;</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 is the owner and director of Super Coach;</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Chan is a manager of Super Coach.</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Arrangements for the Ground Transportation:</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arranged for the ground transportation for the tour with Universal;</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 was advised by Universal of the maximum hours of drive time allowable for a bus driver;</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provided the itinerary for the tour to Universal for review and approval;</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making bookings for ground transportation through Universal, Super Vacation normally expects that the buses will be owned and operated by Universal;</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this occasion, Universal subcontracted ground transportation for the tour to Western Bus;</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expectation of Super Vacation that Universal would only subcontract to other bus companies with the same safety standards as provided by Universal itself;</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and Super Coach did not make inquiries with respect to the maintenance of buses provided by Universal or its subcontracted companies for Super Vacation tours;</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and Mr. Lau took no steps to ensure Universal was using competent companies for subcontracting.</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Lau's Responsibility for Inbound Tours:</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 is responsible for overseeing "inbound tours" for Super Vacation and overseeing the manager of inbound tours for Super Vacation.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Chan's Responsibility for the Training Program</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Chan is in charge of a training program for people looking to become tour guides ("the training program");</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training program focusses on courtesy and safety. It includes instruction on how to monitor bus drivers for fatigue;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retains its tour guides from the pool of participants who complete the training program;</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Drivers and guides trained by Super Vacation operate mini-coaches owned by Super Vacation and Super Coach;</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Training documents from Super Vacation mention Super Coach on them. This is to ensure that drivers and guides understand they must follow the rules and regulations of Super Coach;</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Chan acted jointly in his role at Super Vacation and his role at Super Coach when issuing training documents to prospective guides and drivers, including Mr. Yu, during the training program.</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Relationship between Super Vacation and Super Coach</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Lau was asked whether Super Vacation and Super Coach are doing business together, Mr. Lau answered, "business partner in another way, yes". Mr. Lau was asked: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if Paul [Chan] is acting in one capacity for both [Super Vacation] and Super Coach and you can't distinguish what role he's working in, the two companies seem to be acting together?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like me owning Super Coach and owning Super Vacation. It's two separate identity. So they have to pay for each other's service. That's the relationship start and ends [sic].</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Super Vacation's Employees</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has 23 employees working in its office;</w:t>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has approximately 30 tour guides working for it;</w:t>
      </w:r>
    </w:p>
    <w:p>
      <w:pPr>
        <w:numPr>
          <w:numId w:val="5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tour was planned by Mr. Kendy Su, a manager at Super Vacation.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Responsibilities for Ensuring Compliance with Safety Standards</w:t>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is registered with Work Safe BC;</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does not have an Occupational Health &amp; Safety Program;</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does not have a person designated as a health and safety representative;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 and Mr. Chan were responsible for ensuring Mr. Su was familiar with the Department of Transportation restrictions;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Tour guides report safety concerns to Mr. Chan. Super Vacation does not keep written records of these safety concerns;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Chan is in charge of ensuring prospective guides and drivers retain all required knowledge during the training program;</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Mr. Lau was aware of the National Safety Code regulation requiring drivers not to work more than 14 days in a row without a full 24 hours off;</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took no steps to train its tour guides to ensure that drivers retained through other companies were complying with the safety code regulation;</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responsibility of Mr. Chan, in his capacity working for Super Vacation and for Super Coach, to train Mr. Yu on how to read a driver's log book;</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Chan was in charge of ensuring tour guides were not excessively fatigued from working too many days in a row at the time of the accident;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took no steps to ensure that subcontractors adhered to the safety code regulation;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Chan was in charge of maintaining quality control expectations over subcontractors for drivers at the time of the accident; and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 was in charge of maintaining quality control expectations over subcontractors for buses at the time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Lau's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Lau filed an affidavit in response to these applications. He deposed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 is the sole director and officer of Super Coach. He is also a director of Super Vacation, along with Mr. Chan and two other directors. Mr. Lau and Mr. Chan are the officers of Super Vacation.</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is a "wholesale tour operator". It contracts out ground transportation for long tours such as this one. It uses mini-coaches (10 to 24 seats) for shorter destinations and for pickups and drop-offs at the Vancouver Airport.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last 15 years, Super Vacation and its investors began purchasing mini-coaches.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operator of commercial passenger vehicles, such as the mini-coaches, is required by federal and provincial laws to have a "National Safety Code Safety Certificate" ("NSC Certificate"). The operator is also required to have a license from British Columbia's Passenger Transportation Board ("PTB License").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2002, Mr. Lau incorporated Super Coach Holdings Ltd. for the purpose of holding the National Safety Code Certificate and the Passenger Transportation Board license required for the mini-coaches. He was the sole director and shareholder.</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11, 2003, Mr. Lau incorporated 667. He is the sole director. Mr. Lau has always been the sole shareholder, originally in his personal capacity and later through his wholly owned company, 776783 B.C. Ltd.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incorporating 667 was to create a vehicle for Mr. Lau's investment in mini-coaches. Super Vacation and its principal investors, through corporations, currently own 14 mini-coaches. 667 owns two of the mini-coaches and shares ownership in a further four mini-coaches.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2009, all of the mini-coaches operated under NSC certificates and PTB licenses that were issued to Super Coach Holdings. Because of this, Mr. Lau says, the Super Coach name became associated with the mini-coaches.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2009, Mr. Lau's accountant suggested that it was unnecessary to operate both Super Coach Holdings Ltd. and 667. Mr. Lau decided to stop using Super Coach Holdings and applied to have the NSC certificate and PTB license issued to 667. The Passenger Transportation Board advised him that the numbered company should have a business name. He therefore submitted the application for 667 "doing business as Super Coach".</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Coach Holdings Ltd. was dissolved in March 2013.</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 deposes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Super Coach name originated with Super Coach Holdings, a separate corporate entity from 667. However I acknowledge that when I was examined for discovery as a representative of Super Vacation I agreed that 667 is now operates as Super Coach [sic]. I had in mind that I had used the Super Coach name when 667 applied for the PTB license.</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mini-coaches all have the "Super Vacation" name and logo painted on them. None of them is identified as 667741 B.C. Ltd. or Super Coach.</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mini-coaches are leased by their various owners to Super Coach which is described as "Lessee" in the insurance and registration documents issued by ICBC, except for those that are wholly owned by Super Coach. In that case, Super Coach is named as "owner".</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makes payments to Super Coach and to the other mini-coach owners for its use of the mini-coaches. Super Coach's sole source of revenue is its share of these payments.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contract between Super Coach and the passengers on the mini-coaches. Super Vacation contracts directly with its customers.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contracts with and pays the drivers who operate the mini-coaches. It also contracts with and pays the tour guides who perform tour guide services for it, whether working on the mini-coaches or on buses under contract to Super Vacation from other bus companies. Super Coach does not contract with or pay the drivers of mini-coaches or the tour guides.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2014, Super Coach had no employees on its payroll. It currently has one employee who was hired in 2015 to perform clerical work and some bus lot services.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Coach has never employed Mr. Yu or made any payments to Mr. Yu. When he was a driver of the mini-coach, Mr. Yu submitted reimbursement forms to Super Vacation and was paid directly by Super Vacation.</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Yu worked as a driver-guide at times. At other times he was just a tour guide. At the time of the accident he was working on the bus as a tour guide.</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Super Coach nor Super Coach Holdings has ever employed Mr. Chan or made payments to him or any corporate entity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Lau acknowledged that when he was examined for discovery as a representative of Super Vacation, he stated that Mr. Chan was Super Coach's "manager" and further agreed that he was its "employee". Mr. Lau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realize now that this was not correct. One of Mr. Chan's roles within Super Vacation is the hiring and training of drivers and tour guides. He also interacts with the relevant government agencies which monitor [Super Coach's]'s compliance with the requirements under its NSC certificate and PTB license. In those capacities he could loosely be described as a "manager" but he is not formally designated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Lau went on to depose: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than being its director and officer, I am not 'employed' by 667 and do not receive a salary from the company. I acknowledge that when I was examined for discovery I stated that I was an "employee" of Super Coach, which I now understand to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Lau further deposed that:</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Coach does not share any profit revenue or expenses with Super Vacation. It has separate financial statements that are not consolidated with Super Vacation or any other corporate entity.</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Super Vacation, not Super Coach, that provides training programs for the drivers of the mini-coaches and the tour guides with whom it contracts for those services.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Vacation needs to ensure compliance with the requirements of Super Coach's NSC certificate and PTB license. Otherwise it would be unable to use the mini-coaches for local tours and ground transport services.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 Coach and the other owners of the mini-coaches also have an interest in the proper training of the drivers of the mini-coaches because failure to comply with the relevant safety rules and regulations would put the NSC certificate and PTB license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Lau referred in his affidavit to a document called "To All Contractors (Driver &amp; Tour Guide)". A section of that document is entitled "Super Coach requirements". Another document signed by Mr. Yu is entitled "Super Coach Ltd. Disciplinary Policy and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third document signed by Mr. Yu states that he has read and understood the laws and regulations of the National Safety Code put in place by the Ministry of Transportation. It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also read and understand the duties and standards expected of me from the company, Super Coach.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contractors are work with Super Vacation as a contract base or part-time base [sic]. Contractors will need to inform Super Vacation when is not available [sic] to conduct a tour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Lau deposed that all three documents were prepared by Mr. Chan and that he only became aware of the documents after the accident. He deposed that Mr. Chan told him that he tended to put the Super Coach name on documents whenever they had to do with the National Safety Code or other government regulations under which the mini-coaches operate. He further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Chan further informs me that he was incorrect to suggest in these documents that Super Coach - not Super Vacation - was the company to which the drivers and tour guides were legally answerable for any non-compliance with safety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principles to be applied in considering an application to add defendants under Rule 6-2(7) are found in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2011 BCSC 1591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Meade</w:t>
      </w:r>
      <w:r>
        <w:rPr>
          <w:rFonts w:ascii="arial" w:eastAsia="arial" w:hAnsi="arial" w:cs="arial"/>
          <w:color w:val="000000"/>
          <w:sz w:val="20"/>
          <w:lang w:val="en-US" w:eastAsia="en-US" w:bidi="ar-SA"/>
        </w:rPr>
        <w:t>]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should be added where that party's participation is necessary for the proper determination of the case: </w:t>
      </w:r>
      <w:r>
        <w:rPr>
          <w:rFonts w:ascii="arial" w:eastAsia="arial" w:hAnsi="arial" w:cs="arial"/>
          <w:i/>
          <w:color w:val="000000"/>
          <w:sz w:val="20"/>
          <w:lang w:val="en-US" w:eastAsia="en-US" w:bidi="ar-SA"/>
        </w:rPr>
        <w:t>Van de Perre v. Edwards</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[2001] 2 S.C.R. 1014</w:t>
        </w:r>
      </w:hyperlink>
      <w:r>
        <w:rPr>
          <w:rFonts w:ascii="arial" w:eastAsia="arial" w:hAnsi="arial" w:cs="arial"/>
          <w:color w:val="000000"/>
          <w:sz w:val="20"/>
          <w:lang w:val="en-US" w:eastAsia="en-US" w:bidi="ar-SA"/>
        </w:rPr>
        <w:t xml:space="preserve"> at para. 48;</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to add parties should be generously exercised so as to enable effective adjudication upon all matters: </w:t>
      </w:r>
      <w:r>
        <w:rPr>
          <w:rFonts w:ascii="arial" w:eastAsia="arial" w:hAnsi="arial" w:cs="arial"/>
          <w:i/>
          <w:color w:val="000000"/>
          <w:sz w:val="20"/>
          <w:lang w:val="en-US" w:eastAsia="en-US" w:bidi="ar-SA"/>
        </w:rPr>
        <w:t>Northern Construction Co. v. British Columbia Hydro and Power Authority</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[1970] B.C.J. No. 26</w:t>
        </w:r>
      </w:hyperlink>
      <w:r>
        <w:rPr>
          <w:rFonts w:ascii="arial" w:eastAsia="arial" w:hAnsi="arial" w:cs="arial"/>
          <w:color w:val="000000"/>
          <w:sz w:val="20"/>
          <w:lang w:val="en-US" w:eastAsia="en-US" w:bidi="ar-SA"/>
        </w:rPr>
        <w:t xml:space="preserve"> at para. 14;</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exercising the discretion to add a party, the court should not concern itself as to whether the action will be successful other than to be satisfied that there may exist an issue or question between the applicant and the party being joined: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[1981] B.C.J. No. 1611</w:t>
        </w:r>
      </w:hyperlink>
      <w:r>
        <w:rPr>
          <w:rFonts w:ascii="arial" w:eastAsia="arial" w:hAnsi="arial" w:cs="arial"/>
          <w:color w:val="000000"/>
          <w:sz w:val="20"/>
          <w:lang w:val="en-US" w:eastAsia="en-US" w:bidi="ar-SA"/>
        </w:rPr>
        <w:t xml:space="preserve"> at para. 12;</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is not required in support of a joinder application. The pleadings may be sufficient to establish that there is a question to be tried between the parties: </w:t>
      </w:r>
      <w:r>
        <w:rPr>
          <w:rFonts w:ascii="arial" w:eastAsia="arial" w:hAnsi="arial" w:cs="arial"/>
          <w:i/>
          <w:color w:val="000000"/>
          <w:sz w:val="20"/>
          <w:lang w:val="en-US" w:eastAsia="en-US" w:bidi="ar-SA"/>
        </w:rPr>
        <w:t>Lasik Vision Canada Inc. v. TLC Vancouver Optometric Group Inc.</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[1999] B.C.J. No. 2796</w:t>
        </w:r>
      </w:hyperlink>
      <w:r>
        <w:rPr>
          <w:rFonts w:ascii="arial" w:eastAsia="arial" w:hAnsi="arial" w:cs="arial"/>
          <w:color w:val="000000"/>
          <w:sz w:val="20"/>
          <w:lang w:val="en-US" w:eastAsia="en-US" w:bidi="ar-SA"/>
        </w:rPr>
        <w:t xml:space="preserve"> at para. 15;</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applicant relies on pleadings alone, the facts alleged, which if assumed to be true, must disclose a cause of action: </w:t>
      </w:r>
      <w:r>
        <w:rPr>
          <w:rFonts w:ascii="arial" w:eastAsia="arial" w:hAnsi="arial" w:cs="arial"/>
          <w:i/>
          <w:color w:val="000000"/>
          <w:sz w:val="20"/>
          <w:lang w:val="en-US" w:eastAsia="en-US" w:bidi="ar-SA"/>
        </w:rPr>
        <w:t>Harrington (Guardian ad litem) v. Pappachristos</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[1992] B.C.J. No. 2600</w:t>
        </w:r>
      </w:hyperlink>
      <w:r>
        <w:rPr>
          <w:rFonts w:ascii="arial" w:eastAsia="arial" w:hAnsi="arial" w:cs="arial"/>
          <w:color w:val="000000"/>
          <w:sz w:val="20"/>
          <w:lang w:val="en-US" w:eastAsia="en-US" w:bidi="ar-SA"/>
        </w:rPr>
        <w: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there is prejudice, amendments should be granted liberally to enable the issues to be tried: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order to add a defendant, the applicant must meet the two-stage test in Rule 6-2(7)(c). The court must be satisfied that:</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question or issue between the parties relating to the relief remedy or subject matter of the lawsuit, and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just and convenient to determine the issue in the proceedings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court's discretion to add parties under this rule "should be exercised generously to allow the effective determination of the issues, without delay, inconvenience, or separate trials. Unless the allegations are frivolous, the parties should be added" (</w:t>
      </w:r>
      <w:r>
        <w:rPr>
          <w:rFonts w:ascii="arial" w:eastAsia="arial" w:hAnsi="arial" w:cs="arial"/>
          <w:i/>
          <w:color w:val="000000"/>
          <w:sz w:val="20"/>
          <w:lang w:val="en-US" w:eastAsia="en-US" w:bidi="ar-SA"/>
        </w:rPr>
        <w:t>Ipsos S.A. et al v. Angus Reid et al</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2005 BCSC 1114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Ipsos S.A</w:t>
      </w:r>
      <w:r>
        <w:rPr>
          <w:rFonts w:ascii="arial" w:eastAsia="arial" w:hAnsi="arial" w:cs="arial"/>
          <w:color w:val="000000"/>
          <w:sz w:val="20"/>
          <w:lang w:val="en-US" w:eastAsia="en-US" w:bidi="ar-SA"/>
        </w:rPr>
        <w:t>.] at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Although the threshold under the first branch of the test is low, the pleadings must be specific enough to show on what grounds the proposed defendant is being sued: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2007 BCSC 1706</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In that case Madam Justice Russell stated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inappropriate to lump defendants together and make blanket allegations against them, unless those defendants were in an identical relationship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at para. 14, the Court of Appeal stated the approach for the first branch of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a balance it is likely that the plaintiff would be able to prove its allegations on a balance of probabilities or to any other degree beyond showing that there may exist such a question or such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These applications are brought more than two years after the accident. The principles respecting the addition of defendants or other parties after the expiration of the limitation period were discussed in </w:t>
      </w:r>
      <w:r>
        <w:rPr>
          <w:rFonts w:ascii="arial" w:eastAsia="arial" w:hAnsi="arial" w:cs="arial"/>
          <w:i/>
          <w:color w:val="000000"/>
          <w:sz w:val="20"/>
          <w:lang w:val="en-US" w:eastAsia="en-US" w:bidi="ar-SA"/>
        </w:rPr>
        <w:t>Brandt v. Volkswagen Group Canada Inc.</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2014 BCSC 2380</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Brandt</w:t>
      </w:r>
      <w:r>
        <w:rPr>
          <w:rFonts w:ascii="arial" w:eastAsia="arial" w:hAnsi="arial" w:cs="arial"/>
          <w:color w:val="000000"/>
          <w:sz w:val="20"/>
          <w:lang w:val="en-US" w:eastAsia="en-US" w:bidi="ar-SA"/>
        </w:rPr>
        <w:t>] at paras. 22-23: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In considering whether it is just and convenient to join a party after the expiration of a limitation period, the court considers the following factors:</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 (the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factors").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at para 67;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These factors, while important, are not exhaustive. No one factor is determinative. The decision is ultimately a discretionary one. The overriding consideration is whether adding the party is just and convenient in the circumstances: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xml:space="preserve"> at para. 63;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2011 BCCA 161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Addition of Super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argue that the business of Super Coach and Super Vacation appear to be intermingled. They submit that the two companies are partners within the meaning of s. 2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 A "partnership" is defined in s. 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Partnership is the relation which subsists between persons carrying on business in common with a view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position is that the two entities meet this definition. Thus, they submit that Super Coach is liable for the actions of Super Vacation pursuant to s. 7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also point to the training documents which refer to both Super Coach and Super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respondent, Super Coach, argues that there is no "evidence" that the two entities were carrying on business in common. It says that the plaintiffs are simply lumping together the two entities and making blanket allegations. This is not permissible: see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Super Coach also argues that in any event, it is not just and convenient to add it as a defendant. It would likely succeed in a summary trial to have the claim dismissed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Finally, Super Coach asserts that it lacks insurance coverage and has limited assets. This fact is irrelevant to the instant applications and the Court has not considered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Addition of Mr. Lau and Mr.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plaintiffs argue that Mr. Lau and Mr. Chan, as directors of Super Vacation, and Mr. Lau, as director of Super Coach, had a statutory duty to ensure the companies complied with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R.S.B.C. 1996, c. 492, s. 121: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Every director and every officer of a corporation must ensure that the corporation complies with this Part, the regulations and any applicable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allege that a breach of the statutory duty created an unsafe workplace for the employees, contractors and customers of Super Vacation. The plaintiffs allege that this breach was a cause of the accident and gives rise to a cause of action against both Mr. Lau and Mr.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also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Chan and Mr. Lau in their capacity as employees of Super Vacation and/or Super Coach. In this regard, they failed to provide proper training for employees and agents of Super Vacation and Super Coach and this was also a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respondents, Mr. Lau and Mr. Chan, argue that "the standard rules of foreseeability, proximity, causation and remoteness" weigh heavily against the granting of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They argue that whether there has been a breach of s. 121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is a question reserved exclusively for the Workers' Compensation Board to determine: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113 (1) Subject to sections 239 and 240, the Board has exclusive jurisdiction to inquire into, hear and determine all those matters and questions of fact and law arising or required to be determined under this Part, and the action or decision of the Board is final and conclusive and is not open to question or review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Thus, Mr. Lau and Mr. Chan argue, the court has no jurisdiction to consider an allegation of a breach of any standard within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well, they argue that a breach of statute does not of itself constitute a cause of action: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they argue that this application was brought beyond the limitation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Super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not clear that Super Vacation and Super Coach are in a partnership. But Mr. Lau, in his examination for discovery, provided some evidence that the two entities are partners. His examination for discovery includes the following questions and answers: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653 Q. I am going to show you document 1.32. This was marked as an exhibit, but I don't have the number as well. And this one is titled "Super Coach Limited" and, again, it looks like it has Mark Yu's signature on that; will you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654 Q. And this is a document that Paul [Chan] would have had gone over with -- with Mark?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655 Q. And are you sure -- do you know what capacity Paul was acting in when he went over this with Mark? Was it in his capacity as Super Coach Limited or Canam?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guess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656 Q. Both. So when I say that the Canam and Super Coach Limited are doing business together, does that -- would you agree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Business partner in another way,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Lau has sworn an affidavit in these proceedings. Based on his evidence, it is unlikely that there is a partnership. But in an application like the present one, it is not my role to make findings or to weigh evidence. At this point, it is not the Court's concern whether or not the action will succeed against Super Coach. It is sufficient that there is an issue or question between the plaintiff and Super Coach: </w:t>
      </w:r>
      <w:r>
        <w:rPr>
          <w:rFonts w:ascii="arial" w:eastAsia="arial" w:hAnsi="arial" w:cs="arial"/>
          <w:i/>
          <w:color w:val="000000"/>
          <w:sz w:val="20"/>
          <w:lang w:val="en-US" w:eastAsia="en-US" w:bidi="ar-SA"/>
        </w:rPr>
        <w:t>Meade</w:t>
      </w:r>
      <w:r>
        <w:rPr>
          <w:rFonts w:ascii="arial" w:eastAsia="arial" w:hAnsi="arial" w:cs="arial"/>
          <w:color w:val="000000"/>
          <w:sz w:val="20"/>
          <w:lang w:val="en-US" w:eastAsia="en-US" w:bidi="ar-SA"/>
        </w:rPr>
        <w:t xml:space="preserve"> at para. 16. The allegations are not 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suggestion that the plaintiffs had any way of knowing about Super Coach's involvement in Super Vacation's operations before Mr. Lau's examination for discovery. Therefore, the limitation date does not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satisfied that Super Coach should be added as a party. There is an issue connected with the subject matter of the proceedings and it is just and convenient that Super Coach be joined.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Laurels Lau and Paul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allegation is that both Mr. Lau and Mr. Chan, as directors of Super Vacation, and Mr. Lau, as director of Super Coach, were in breach of their duty under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This is not a frivolous allegation. The duty imposed by s. 121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may or may not result in possible tort liability. That is a question for trial. It is not a question for determination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Moreover, the existence of a privative clause in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that reserves to the Workers Compensation Board the right to determine whether there is a breach is simply not a reason to refuse the addition of a party. It may well be that the Board will be asked for a determination. This is not a question for the Court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Similarly, issues of foreseeability, proximity, causation and remoteness are not considerations at this time. Those are issues for the eventual trial judge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claims are not 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final issue is whether it is just and convenient to join these parties after the limitation period has expired. As outlined in </w:t>
      </w:r>
      <w:r>
        <w:rPr>
          <w:rFonts w:ascii="arial" w:eastAsia="arial" w:hAnsi="arial" w:cs="arial"/>
          <w:i/>
          <w:color w:val="000000"/>
          <w:sz w:val="20"/>
          <w:lang w:val="en-US" w:eastAsia="en-US" w:bidi="ar-SA"/>
        </w:rPr>
        <w:t>Brandt</w:t>
      </w:r>
      <w:r>
        <w:rPr>
          <w:rFonts w:ascii="arial" w:eastAsia="arial" w:hAnsi="arial" w:cs="arial"/>
          <w:color w:val="000000"/>
          <w:sz w:val="20"/>
          <w:lang w:val="en-US" w:eastAsia="en-US" w:bidi="ar-SA"/>
        </w:rPr>
        <w:t xml:space="preserve"> at para. 22, the following factors may assist in this consideration:</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will consider each of these factors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Extent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One must consider the delay between the expiry of the limitation date plus one year allowed for service and the date of the joinder application. This was not extensive. The three-year period (including time allowed for service) ended August 28, 2017. These applications were made in the first half of 2018.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Reasons and Explanation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argue that it was not clear until the examination for discovery that there were valid claims against Mr. Lau and Mr. Chan. I do not entirely agree. The plaintiffs certainly could have determined within the limitation period that Mr. Lau and Mr. Chan were directors of Super Vacation. On the other hand, their alleged role in training or failing to provide training as employees of Super Vacation were not determinable until the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Prejudice Caused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onus is on the proposed defendants to show actual prejudice: </w:t>
      </w:r>
      <w:r>
        <w:rPr>
          <w:rFonts w:ascii="arial" w:eastAsia="arial" w:hAnsi="arial" w:cs="arial"/>
          <w:i/>
          <w:color w:val="000000"/>
          <w:sz w:val="20"/>
          <w:lang w:val="en-US" w:eastAsia="en-US" w:bidi="ar-SA"/>
        </w:rPr>
        <w:t>Amezcua v. Taylor</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2010 BCCA 128</w:t>
        </w:r>
      </w:hyperlink>
      <w:r>
        <w:rPr>
          <w:rFonts w:ascii="arial" w:eastAsia="arial" w:hAnsi="arial" w:cs="arial"/>
          <w:color w:val="000000"/>
          <w:sz w:val="20"/>
          <w:lang w:val="en-US" w:eastAsia="en-US" w:bidi="ar-SA"/>
        </w:rPr>
        <w:t xml:space="preserve"> at para. 51. The loss of the limitation defence itself is not a separate factor to consider when assessing prejudice. The relevant consideration is the potential prejudice that has resulted from the passage of time. No such prejudice is evident here. There is no suggestion that the ability of Mr. Lau and Mr. Chan to mount a defence will be affected by the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Connection between Existing Claim and Proposed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addition of Mr. Lau and Mr. Chan to the action will not in any way alter the character of the action: see </w:t>
      </w:r>
      <w:r>
        <w:rPr>
          <w:rFonts w:ascii="arial" w:eastAsia="arial" w:hAnsi="arial" w:cs="arial"/>
          <w:i/>
          <w:color w:val="000000"/>
          <w:sz w:val="20"/>
          <w:lang w:val="en-US" w:eastAsia="en-US" w:bidi="ar-SA"/>
        </w:rPr>
        <w:t>Brandt</w:t>
      </w:r>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Having regard to all those factors, I conclude it is just and convenient to add these parties after the limitation date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to amend pleadings to add the claims of provincial governments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and similar legislation in other provinces is allowed;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Universal Coach Line Ltd. is added as a defendant to these actions;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667741 B.C. Ltd. is added as a defendant to these actions; and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Laurels Lau and Paul Tao Way Chan are added as defendants to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59"/>
        <w:gridCol w:w="57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Plaintiffs</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Action No</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Jie Ding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66513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Min Feng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M147761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Wei Guo</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M166514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Zize (Lucas) Jiang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66571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Zhong Xiang Li</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Ml48174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Tong Liu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M148173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Wei Liu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M147765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Ya Bin Liu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Ml48175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Ya Hua Liu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Ml47760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Yu Jiao (Naomi) Liu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M147766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Zhiquan (James) Liu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Ml66569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Nan Ni</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M166567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Sarim Or</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Alvin Shuo Feng Peng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Ml66566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Dan Peng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M148176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Yanran Wang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Ml66563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Yifan Wang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M147764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Cindy Chang Wong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James King Bun Wong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57566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Janice Wong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57574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 Ping Wu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M147769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Xiaoyan Xu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66561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Zhao Feng Xu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M147770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Xiuying Yang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M147762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Ran You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66559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Yang You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Ml47767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Yan (Anna) Zhang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M147763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Ruyi (Veronica) Zhou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M166558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Wen Yan (Judy) Zhou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Ml47768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Shu Mei He</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Ml57576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Alexandria Sham</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57580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Chau Peun Christopher Sham</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57577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Vivian Sham</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57579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Wan Hong Lisa Sham</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57561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Zhao Jun Wang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57563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Jing Yao</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Ml57560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Yu Zhang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57560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Ka-Hung "Joseph" Lau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Ml54425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Lai Kuen "Jobe" Wong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M154413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Jade Sin-Yiu Lau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65564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Jeannie Hoi-Tung Lau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Ml65565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Benjamin Bangren Wu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Ml78221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Mei Xian Wu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Ml78220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You Cheng Xu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Ml78218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Cindy Ying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78219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Rokukei Fujino</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64077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Memi Hidaka</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 64079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Rachel Feig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Ml68074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Hua Li Pan</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Ml66164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Yu-Te Su</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Ml66225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Wen-Yu Tang</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Ml66227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Kun Yi aka Karen Yang</w:t>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No. M166312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Petrovic v. Stetsko, [2017] B.C.J. No. 848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29-31, April 1, September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14-0757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848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741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Milomir Petrovic, Plaintiff, and Kimberly Stetsko, Anthony Richard Belisle,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35"/>
      <w:bookmarkEnd w:id="225"/>
      <w:r>
        <w:rPr>
          <w:rFonts w:ascii="arial" w:eastAsia="arial" w:hAnsi="arial" w:cs="arial"/>
          <w:b/>
          <w:color w:val="000000"/>
          <w:sz w:val="20"/>
          <w:lang w:val="en-US" w:eastAsia="en-US" w:bidi="ar-SA"/>
        </w:rPr>
        <w:t>Damages — Physical and psychological injuries — Physical injuries — Arm injuries — Action for damages for injuries sustained in motor vehicle accident allowed in part — 67-year-old plaintiff sustained left shoulder injury when rear-ended by defendant' vehicle and prognosis was guarded — Plaintiff was hardworking and stoic, and injury affected his life, work and recreational activities so he was awarded $75,000 non-pecuniary damages — Plaintiff had no intention of retiring from painting business but had to limit work hours and jobs accepted, so awarded $50,000 loss of earning capacity — Plaintiff's housekeeping and hobby farming capacity reduced, so awarded $8,000 — Plaintiff awarded $7,500 cost of future care and $2,330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Employment status — Cost of future care — Loss of earning capacity — Loss of housekeeping ability — Special damages — Expenses and expenditures — Therapy or rehabilitation — Non-pecuniary loss — Pain and suffering — Affecting recreational activities — Action for damages for injuries sustained in motor vehicle accident allowed in part — 67-year-old plaintiff sustained left shoulder injury when rear-ended by defendant' vehicle and prognosis was guarded — Plaintiff was hardworking and stoic, and injury affected his life, work and recreational activities so he was awarded $75,000 non-pecuniary damages — Plaintiff had no intention of retiring from painting business but had to limit work hours and jobs accepted, so awarded $50,000 loss of earning capacity — Plaintiff's housekeeping and hobby farming capacity reduced, so awarded $8,000 — Plaintiff awarded $7,500 cost of future care and $2,330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32"/>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a motor vehicle accident. The plaintiff was rear-ended while stopped at an intersection, and the defendant admitted liability. The 67-year-old plaintiff testified he felt his left shoulder pull in the collision and the next day had pain in his left shoulder, jaw and lower back. The plaintiff operated a painting business and returned to work. The plaintiff's jaw pain resolved in weeks and he finally attended his doctor when his shoulder pain continued a month later. The plaintiff did not take medications because of the cost and side effects. The plaintiff attended chiropractic treatments and did recommended exercises. The plaintiff's sleep was affected and he was no longer able to do dragon boating, or work as many hours or take jobs that required extension ladders. The plaintiff sought an award of approximately $210,000. The defendant argued the plaintiff suffered mild to moderate injury that resolved within two years, and any ongoing issues were unrelated to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7" w:name="Holdings of Court_27"/>
            <w:bookmarkEnd w:id="22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stoic and hardworking, and it was accepted that he delayed treatment because he did not have time to go, and thought his injuries would resolve. The plaintiff could not afford to stop working or attend other therapies. The defence expert did not examine the plaintiff, and his opinion was given little weight. The plaintiff's evidence and his medical evidence established the injury was caused by the accident, and the plaintiff's prognosis was poor. The motor vehicle accident affected all areas of the plaintiff's life. The plaintiff had headaches, pain, difficulty with extension, and had to modify his work and recreational activities. Notwithstanding his stoicism, the impact on the plaintiff was significant, and he was awarded $75,000 non-pecuniary damages. The plaintiff had to shorten his work days and adjust the nature of the jobs he took. While the plaintiff was close to retirement age when injured, he had no intention of retiring, for both financial reasons and personal enjoyment of his work. The capital asset approach was used, and the plaintiff was awarded $50,000 for loss of income earning capacity. The plaintiff's housekeeping ability and ability to maintain his hobby farm was reduced, and he was awarded $8,000. The plaintiff attended over 40 chiropractic treatments, which provided some relief, and would likely participate in recommended care plan of chiropractic treatment and fitness, so was awarded $7,500 for cost of future care. The plaintiff was awarded $2,330 special damages for medical treatment. The total award was $142,830, and the defendant was to pay $71 under the Health Care Costs Recovery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8" w:name="Legislation Cited_15"/>
      <w:bookmarkEnd w:id="2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9" w:name="Counsel_35"/>
      <w:bookmarkEnd w:id="2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D.D. McKnight and Mr. S. Missaghi.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C.R. Cordick.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0" w:name="Judgment_35"/>
      <w:bookmarkEnd w:id="230"/>
      <w:r>
        <w:pict>
          <v:line id="_x0000_s1193"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1" w:name="J.A. POWER J."/>
            <w:bookmarkEnd w:id="231"/>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relates to a motor vehicle accident ("MVA") that occurred on May 31, 2012 in Victoria, British Columbia. The plaintiff was rear-ended by a vehicle, a Jeep Wrangler, driven by the defendant Kimberly Stetsko, while he, the plaintiff, was stopped at the intersection of Bay Street and Blanshard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admitted in this action. At issue are the extent of the injury suffered by the plaintiff, and whether or not that injury is ongoing. In addition to general damages, the plaintiff seeks damages for past and future income loss, loss of homemaking capacity, and special damages. The plaintiff made submissions arguing that he was forced to go to trial in order to obtain a fair award which he submits is approximately $210,000.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take the position that the plaintiff suffered minor to moderate whiplash-type injuries to his neck or back that resolved, or substantially resolved within two years of the MVA. The defendants argue that any current limitations to the plaintiff's present occupation are due to a left shoulder rotator-cuff injury which, the defendants say, is not related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Milomir Petrovic was born in the former Yugoslavia on May 13, 1949 and was 64 years of age when he was involved in the MVA. He is currently divorced with four adult 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Petrovic grew up on a farm and demonstrated from an early age a strong work ethic which has sustained him throughout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Petrovic moved to Canada in his early twenties and initially found work on a poultry farm within days of his arrival. He did that for a year and a half before finding work as a painter for a company called B&amp;B Painting. He apprenticed as a painter for that company. The owner was able to mentor him since the owner was from Bosnia and they spoke the same language. He was involved in painting residential and commercial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Eventually, Mr. Petrovic left his employment with B&amp;B Painting to work at the Butchart Gardens as a painter. He worked at Butchart Gardens for seven and a half years before leaving to open his own business, Garden City Painters, a sole proprietorship.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Petrovic mainly works by himself because of the difficulty in finding employees. He was actively employed and had no plans to retire, both at the time of the MVA and at trial, in part because painting was his passion and in part for financial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Petrovic has been generally healthy throughout his adult life. He has rarely missed work for illness or injury except for the three months when he underwent quadruple bypass heart surgery in 2009. He was diagnosed with type-II diabetes around the same time. It does not appear from the evidence at trial that his diabetes had any impact on his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Petrovic lives outside of Victoria in the community of Mill Bay. He has a hobby farm where he grows vegetables and has sheep and free range chickens.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Up until the time of the accident, Mr. Petrovic was an active man with many hobbies and interests including hiking, canoeing, and dragon boating. He has hiked the well-known West Cost Trail twice and has been involved in competitive dragon boating with a seniors'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accident that gave rise to this action took place around 12:30 p.m. on May 31, 2012. The plaintiff was stopped on Bay Street, where it intersects Blanshard Street, waiting for the traffic light to change. He was driving his 2004 Dodge Caravan when he was struck in the rear by the defendant, Ms. Stetsko, who was driving a Jeep Wrangler which she was loaned by the second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Just prior to the collision, Mr. Petrovic was sitting with his arms fully extended on the steering wheel and he did not have any warning of the impending collision. He described how after the collision he felt his left arm being pulled and his upper body was restrained by a shoulder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described feeling "confused" by the accident and immediately feeling some "tightness" in his left shoulder. He went to talk to the other driver and remained calm since he doesn't "fold under pressure." He inspected the damage to his van, which would subsequently require approximately $4,000 to repair. He did not notice any damage to the defendant's Jeep which he described as a heavy duty army type Jeep with a towing clip to the bumper. He noted that the Jeep had a bumper which was higher than his rear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police officer attended the scene and Mr. Petrovic declined an ambulance since he was not bleeding and did not have any obvious injury except for a rash in his shoulder area. After the accident he drove himself to Mill Bay but had to pull over on the Malahat when he realized what had happened and to calm himself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he awoke the next day, Mr. Petrovic had pain in the back of his head, neck, shoulder -- particularly his left shoulder -- left jaw, and lower back. He initially avoided dealing with any continuing pain because he was busy working and he wanted everything to go away. His jaw pain went away within two or three weeks and he was optimistic that his other injuries would do likewise. When he realized his symptoms were not improving he, approximately a month after later, went to see his general physician, Dr. William Reynolds, who has been his physician since 2005. Dr. Reynolds testified on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Petrovic described the effects of the accident on his life and his ability to work. Before the accident he had the kind of "good aches and pains" that come from a hard day's work. Since the accident, his neck and shoulder pain impacts all areas of his life. He is concerned about his ability to continue as a commercial painter and is considering retraining as a driver. As a matter of preference, as he enjoys work, and because of financial necessity, Mr. Petrovic is unable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Petrovic does not take medications because they are costly and because they make him drowsy. His sleep patterns have changed since the accident and he has learned to sleep on his right side and on his back. He describes how the continuing pain often awakens him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Petrovic has done the exercises that he was prescribed by Dr. Reynolds, but he was forthright in admitting that he does not do the recommended exercises as often as prescribed. Eventually, he went to see a chiropractor, Dr. McDiarmid, who testified at trial. He does get some relief from Dr. McDiarmid's chiropractic treatments but has overstated the relief experienced in order to make Dr. McDiarmid "feel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Petrovic described how the continuing pain from the accident has affected all aspect of his life. Whereas he was previously able to work in the range of six days a week for full days of eight to 10 hours, he now cannot work more than five to six hours a day, five days a week. He can no longer do outside painting jobs that require the use of extension ladders and has modified the jobs he takes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Since the accident, he was offered a contract to paint the exterior of a strata building called "The Julia" which was estimated to cost $29,000. He was not able to accept that contract because it required work on ladders which he was unable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Dutton is president of the strata council for "The Julia" -- a 30 unit property -- and in that capacity he met Mr. Petrovic five or six years ago when Mr. Petrovic was doing work at the building. He testified and described Mr. Petrovic's work as excellent with a high degree of attention to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Dutton confirmed that he obtained the exterior paint job estimate of $29,000 for "The Julia" which Mr. Petrovic was unable to do because he was unable to do ladder work. Mr. Dutton still hires Mr. Petrovic for smaller jobs that do not require ladder work because he is impressed with the quality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Mr. Petrovic continues with his recreation activities to the extent he is able, he does not participate, for example, in canoeing and dragon boating because he cannot compete at the same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William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William Reynolds is a Medical Doctor practising in family medicine. He has been Mr. Petrovic's family doctor since 2005. He saw Mr. Petrovic for medical consultation for injuries relating to the MVA on five occasions between June 29, 2012 and February 24, 2014. Dr. Reynolds prepared a report dated January 14, 2016 which was admitted into evidence as Exhibit 4. Dr. Reynolds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June 29, 2012, Mr. Petrovic was diagnosed by Dr. Reynolds with "... musculoligamentous injury of the cervical, thoracic and lumbar spines as well as muscular inflammation in the jaw and anterior neck." He was prescribed physical therapy, massage therapy, range of motion exercises, and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report, Dr. Reynolds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seen by me on four subsequent occasions between July 25, 2012 and his last appointment on February 24, 2014. At his last appointment to review his condition he continued to report ongoing daily symptoms of cervical spine pain and pain in his posterior shoulders. His pain was aggravated by overhead activities and neck postures in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mechanism of injury and my findings on his subsequent office visits and examinations the cause of his injuries are due to his motor vehicle accident in May 2012. His symptoms are due to musculoligamentous injury of the cervical spine and aggravation of his pre-existing mild arthritis of his lower cervical spine arising from the motor vehicle accident May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Reynolds goes on to opine that Mr. Petrovic had suffered some vocational disability from the MVA, and that Mr. Petrovic had suffered general disability. In his opinion, it was highly unlikely that his symptoms arising from his injuries would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 ultrasound radiologist's report, dated June 4, 2015 and entered as Exhibit 3, noted a small, full-thickness, supraspinatus tendon tear.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Frank McDiarmid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Petrovic was referred to Dr. McDiarmid, a chiropractor, by his legal counsel. Dr. McDiarmid agreed to defer his chiropractic fees until after the case was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McDiarmid was qualified as an expert chiropractor with expertise in human biomechanics. In the executive summary on p. 2 of his report, dated January 1, 2016 and entered as Exhibit 8, Dr. McDiarmid states the following:</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May 31, 2012 MVC Mr. Petrovic was feeling fine and had no decreased daily activities of daily living, regarding the areas injured as a result of the collision.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numerous factors that put Mr. Petrovic at risk of injury independent of the amount of damage sustained by either vehicle.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Petrovic is currently waiting to have an appointment booked for an MR Arthrogram of his left shoulder.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continues to experience chronic full spine pain, headaches, and left shoulder pain.</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His goal is to retrain as a delivery driver, within the greater Victoria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August 18, 2014, Dr. McDiarmid rendered the following diagnoses:</w:t>
      </w:r>
      <w:r>
        <w:rPr>
          <w:rFonts w:ascii="arial" w:eastAsia="arial" w:hAnsi="arial" w:cs="arial"/>
          <w:sz w:val="20"/>
          <w:lang w:val="en-US" w:eastAsia="en-US" w:bidi="ar-SA"/>
        </w:rPr>
        <w:cr/>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residuals of cervical articular sprain (WAD 2).</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residuals of a costovertebral articular sprain.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Muscle contraction headache.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three diagnoses are consistent with the mechanism of injury as described by Mr. Petrovic, and are secondary to the May 31, 2012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 in his report, Dr. McDiarmid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documented that shoulder injuries occur in up to 22% of all whiplash injuries. Direct shoulder contact is not required in order to suffer concomitant rotator cuff or labrum injuries in conjunction with whiplash. As mentioned under the Imaging section of this report, the June 4, 2015, ultrasound revealed a tear to the rotator cuff supraspinatus muscle. It is known that a history of trauma is the most strongly correlated factor with rotator cuff tears.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SLAP tear is one of the more common types of internal shoulder injuries. I strongly believe Mr. Petrovic has suffered a SLAP tear. The list of possible internal derangement shoulder injuries is quite extensive. Most orthopedic tests of the shoulder cannot truly isolate a particular structure. The tests compress and stretch adjacent structures and only the appropriate advanced imaging is capable of differentiating the tissues. An MR Arthrogram is the definitive gold-standard diagnostic test and will determine the next course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inability to distinguish shoulder pain, from the radiating pain originating in the neck is very common. It is recognized as one of the reasons for long delays in receiving treatment.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Paul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defence called Dr. Paul Marks, an orthopedic surgeon from Toronto, Ontario. Dr. Marks' report was a response report and is entitled "Medical File Review". As the title suggests, Dr. Marks did not medically examine Mr. Petrovic. Instead he simply reviewed the medical file and then provided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Marks is of the opinion that Mr. Petrovic suffered simply soft tissue strains as a result of the accident which should have resolved within 6-12 weeks under normal biological healing parameters. Dr. Marks agrees with Dr. Reynolds that it is highly unlikely that the plaintiff's symptom would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Marks' summary and discussion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agree with the conclusions made by chiropractor, Dr. Frank McDiarmid. I have carefully detailed critical appraisal of the literature utilized by Dr. McDiarmid; the majority of which is not applicable to the circumstance and does not provide conclusions that support his opinion. It would appear that at most, Mr. Petrovic has suffered simple soft tissue strains as a result of his accident. One would normally expect these to return to their pre-accident status given normal biological healing parameters in timeframes of perhaps six to twelve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defence position on the damage assessment rests on the argument that the continuing shoulder injury suffered by Mr. Petrovic is unrelated to the accident and that he suffered whiplash-type injuries which should have resolved quickly -- not persist permanently.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wish to state at the outset, that I have no difficulty accepting Mr. Petrovic's evidence that he delayed seeking medical treatment for his injuries from the accident because he had no time to do so and because he had no interest in being injured. I accept his evidence unreservedly and find him to be a hard-working and stoic individual who continued to work because he had no option but to do so, and that he did not seek medical treatment or other therapies because he could not afford to do so. To the extent that the defence case rests on any challenge to Mr. Petrovic's credibility, I reject those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have further determined that Dr. Marks' evidence is entitled to little weight for the reasons outlined by Parrett J. in </w:t>
      </w:r>
      <w:r>
        <w:rPr>
          <w:rFonts w:ascii="arial" w:eastAsia="arial" w:hAnsi="arial" w:cs="arial"/>
          <w:i/>
          <w:color w:val="000000"/>
          <w:sz w:val="20"/>
          <w:lang w:val="en-US" w:eastAsia="en-US" w:bidi="ar-SA"/>
        </w:rPr>
        <w:t>Preston v. Kontzamanis</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2015 BCSC 2219</w:t>
        </w:r>
      </w:hyperlink>
      <w:r>
        <w:rPr>
          <w:rFonts w:ascii="arial" w:eastAsia="arial" w:hAnsi="arial" w:cs="arial"/>
          <w:color w:val="000000"/>
          <w:sz w:val="20"/>
          <w:lang w:val="en-US" w:eastAsia="en-US" w:bidi="ar-SA"/>
        </w:rPr>
        <w:t xml:space="preserve"> at paras. 127 to 138.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noted in the plaintiff's argument, the defence did not at any point seek an Independent Medical Assessment pursuant to the Rules or request the plaintiff to submit to one voluntarily. I am of the view that Dr. Marks' evidence is of little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[para1996] 3 S.C.R. 458, the court outlined the general principles for the proof of causation at paras 13-20. As contained in those well-known passages, the test for causation is the "but for" test -- a test which should not be applied too rigidly. The court confirmed that it is not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Supreme Court of Canada reaffirmed these principles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346 D.L.R. (4th) 577</w:t>
        </w:r>
      </w:hyperlink>
      <w:r>
        <w:rPr>
          <w:rFonts w:ascii="arial" w:eastAsia="arial" w:hAnsi="arial" w:cs="arial"/>
          <w:color w:val="000000"/>
          <w:sz w:val="20"/>
          <w:lang w:val="en-US" w:eastAsia="en-US" w:bidi="ar-SA"/>
        </w:rPr>
        <w:t>. Applying those causation principles to this case, I am satisfied that Mr. Petrovic suffered soft tissue or whiplash-type injuries and headaches. I am further satisfied that the ongoing shoulder injury is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that regard, I accept the evidence of Dr. McDiarmid. I am satisfied on all of the evidence that Mr. Petrovic did complain to Dr. Reynolds of shoulder pain from the outset, but that his stoic nature and lack of interest in an ongoing injury contributed to the delay in a full exploration and an earlier diagnosis of the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summary, the evidence of the plaintiff, the medical evidence of Dr. Reynolds and Dr. McDiarmid, and the temporal connection between the accident and the injuries lead me to conclude that the injuries Mr. Petrovic described at trial were caused by the accident. I am further satisfied that the ongoing prognosis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am not satisfied that the defendants have established a failure to mitigate by the plaintiff by failing to follow a recommended treatment. As noted by Mr. Justice Verhoeven in </w:t>
      </w:r>
      <w:r>
        <w:rPr>
          <w:rFonts w:ascii="arial" w:eastAsia="arial" w:hAnsi="arial" w:cs="arial"/>
          <w:i/>
          <w:color w:val="000000"/>
          <w:sz w:val="20"/>
          <w:lang w:val="en-US" w:eastAsia="en-US" w:bidi="ar-SA"/>
        </w:rPr>
        <w:t>Fifi v. Robinson</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2012 BCSC 1378</w:t>
        </w:r>
      </w:hyperlink>
      <w:r>
        <w:rPr>
          <w:rFonts w:ascii="arial" w:eastAsia="arial" w:hAnsi="arial" w:cs="arial"/>
          <w:color w:val="000000"/>
          <w:sz w:val="20"/>
          <w:lang w:val="en-US" w:eastAsia="en-US" w:bidi="ar-SA"/>
        </w:rPr>
        <w:t xml:space="preserve"> at paras. 81-82, the defendant must do more than to show that the plaintiff failed to engage in treatment that could or might have been beneficial and the defendants here have not established that the failure to engage in physiotherapy or massage therapy or follow the exercise plan of Dr. Reynolds would have benefited Mr. Petrovic so that his injuries would have been lessened.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seeks general damages in the range of $80,000 to $90,000. The defendants seek a substantially reduced amount in the range of $20,000 to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support of the higher range, the plaintiff cites: </w:t>
      </w:r>
      <w:r>
        <w:rPr>
          <w:rFonts w:ascii="arial" w:eastAsia="arial" w:hAnsi="arial" w:cs="arial"/>
          <w:i/>
          <w:color w:val="000000"/>
          <w:sz w:val="20"/>
          <w:lang w:val="en-US" w:eastAsia="en-US" w:bidi="ar-SA"/>
        </w:rPr>
        <w:t>Kaleta v. MacDougall</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2011 BCSC 1259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Delgiglio v. British Columbia (Public Safety and Solicitor General)</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2012 BCSC 480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Mitchell v. Martin</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2016 BCSC 1544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Picton v. Fredericks</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2016 BCSC 1470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Johal v. Meyede</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2013 BCSC 2381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Stull v. Cunningham</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2013 BCSC 1140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Woelders v. Gaudette</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2016 BCSC 1066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 v. Tan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2016 BCSC 908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Nijjar v. Hill</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2016 BCSC 546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Fremlin</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2013 BCSC 800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Dorosh v. John</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2013 BCSC 1442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support of the lower range, the defendants cite: </w:t>
      </w:r>
      <w:r>
        <w:rPr>
          <w:rFonts w:ascii="arial" w:eastAsia="arial" w:hAnsi="arial" w:cs="arial"/>
          <w:i/>
          <w:color w:val="000000"/>
          <w:sz w:val="20"/>
          <w:lang w:val="en-US" w:eastAsia="en-US" w:bidi="ar-SA"/>
        </w:rPr>
        <w:t>Gee v. Elvira</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2001 BCSC 1210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Gladish v. Cymbaluk</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2003 BCSC 485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Hussain v. Cho</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2012 BCSC 194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Kailey v. Kellner</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2007 BCSC 1449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Kanani v. Misiurna</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2008 BCSC 629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2011 BCSC 373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Rana v. Boparai</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2007 BCSC 1182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considering non-pecuniary damages, I have considered the purpose of this award as set out by the Supreme Court of Canada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including that an individual's loss is key and that as it is impossible to develop a "tariff", the award will vary to meet the specific circumstances of the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framework for the assessment of non-pecuniary damages was set out by our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Considering these factors, I am persuaded by the plaintiff that the MVA has impacted all aspects of Mr. Petrovic's life. Specifically I find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Age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Petrovic was 64 years old at the time the collision occurred. He is now 67 years old. He was and is a hardworking and physically active individual who has been negatively affected by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Nature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Petrovic suffered and continues to suffer the consequences of his injuries. It was unclear at trial whether or not there were any other treatment options that were going to be pursued with respect to the shoulder injury. Dr. Reynolds opines that it is unlikely that Mr. Petrovic's injuries would be considered permanent. I conclude based on Dr. McDiarmid's evidence that his prognosis with respect to the shoulder must be considered guarded.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Severity and Duration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Petrovic continues to experience headaches, and pain with activities that require extension. He has modified his painting schedule and modified the type of painting jobs that he takes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a result of the injuries, Mr. Petrovic is limited in his ability to perform painting tasks and to engage in recreational activities such as dragon boating. He has adjusted his work and recreational pursuits in order to manage his ongoing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Emotional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Petrovic presented as a quiet stoic individual who was initially unwilling to accept that he was injured by the accident. He has also had difficulty accepting the limitations to his ability to work and to his recreational pursuits. Notwithstanding his stoicism, I conclude that the impact of his loss has been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Loss or Impairment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noted, Mr. Petrovic has modified his work hours and work life to adjust to his more limited abilities. The evidence satisfies me that Mr. Petrovic obtained a lot of personal satisfaction and identity from his work life. Further, his recreational pursuits including dragon boating and hiking have been curtailed and he cannot engage in them to the same level he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all of the circumstances, and having considered the authorities cited, I conclude than an appropriate sum under this head of damages is $75,000.00.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position is that there should be no award for future wage loss for a number of reasons including that they submit that Mr. Petrovic did not take any time off work as a result of his injuries, the medical evidence does not demonstrate that he has any medical restriction, he has not shown a functional limitation with respect to work, and because he was close to retirement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do not believe that the defendants' position reflects the evidence at trial or the facts that I have found. I am satisfied on the evidence of Mr. Petrovic and Mr. Dutton that Mr. Petrovic has had to shorten his work days and adjust the nature of the jobs that he takes on. Further, Dr. Reynolds indicates that Mr. Petrovic has suffered limitations with respect to overhead activities and neck postures in extension. Dr. McDiarmid accepts that Mr. Petrovic may have to retrain as a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Mr. Petrovic was close to a traditional retirement age at the time of the accident, I accept his evidence that for financial reasons and for his own personal enjoyment, he intended to work longer and had no immediate plans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was also some evidence at trial about an injury to Mr. Petrovic's hand which he accommodated by painting with his other hand. I am of the view that this evidence is unrelated to the impact of the separate injuries Mr. Petrovic sustained in the MVA and that evidence does not impact my damages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assessing the future loss of earning capacity, the Court of Appeal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quoting from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endorsed the following considerations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 I think the considerations referred to by Mr. Justice Finch at p. 4 of his reasons have application in cases where loss of future earning capacity is in issue. I refer to this language at p. 4 of Mr. Justice Finch's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30-32, the Court of Appeal summarized the basic principles that a court should consider in assessing loss of future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(S.C.C.). These principles are:</w:t>
      </w:r>
    </w:p>
    <w:p>
      <w:pPr>
        <w:numPr>
          <w:numId w:val="3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3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Furthermore, I conclude that there is no conflict between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and the earlier judgment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 As mentioned earlier,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always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this case, as Mr. Petrovic's loss is not easily measurable, I proceed with the capital asset approach to assessing damages for the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defence has set out, at para. 48 of its argument, the kinds of contingencies that the court should take into account. I have considered Mr. Petrovic's age, his general health, and that common sense indicates that although he may have wished to work indefinitely, the physical limitations of age will eventually prevent him from doing so. I have also taken into account Mr. Petrovic's abilities and excellence as a painter, and his modified schedule as a result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Taking into account all of the contingencies, both positive and negative, and having considered and applied the principles described above, I am of the view that an appropriate award for loss of income earning capacity is $50,000.00.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law in respect of assessing a plaintiff's loss of homemaking capacity was recently summarized in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xml:space="preserve"> at paras. 108 and 109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(B.C. C.A.), Huddart J.A. comprehensively surveyed the majority and minority decisions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(B.C. C.A.), a decision of a five-member panel of the Court of Appeal, as well as other pertinent jurisprudence, and summarized the essential principles in relation to claims for past and future loss of housekeeping capacity. At para. 43, her Ladyship emphasized the vital point that claims for loss of housekeeping capacity are distinct from claims respecting the plaintiff's future cost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As I have noted, the majority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quite clearly decided that a reasonable award for the loss of the capacity to do housework was appropriate whether that loss occurred before or after trial. It was, in my view, equally clear that it mattered not whether replacement services had been or would be hired. It did not adopt the analogy with future care as a general rule. Nor did it permit, nor in view of the authorities to which I have referred could it have permitted, a deduction for the contingency that replacement services might not be hired. Allowances for contingencies are for risk factors that might make the loss of capacity more or less 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Because an award for the loss of housekeeping capacity reflects the loss of personal capacity, which is an asset, the issue of whether the plaintiff had used replacement services or is likely to hire such assistance in the future does not inform the analysis. That is a crucial distinction between those damages and awards for a plaintiff's future cost of care as affirmed in </w:t>
      </w:r>
      <w:r>
        <w:rPr>
          <w:rFonts w:ascii="arial" w:eastAsia="arial" w:hAnsi="arial" w:cs="arial"/>
          <w:i/>
          <w:color w:val="000000"/>
          <w:sz w:val="20"/>
          <w:lang w:val="en-US" w:eastAsia="en-US" w:bidi="ar-SA"/>
        </w:rPr>
        <w:t>O'Connell (Litigation Guardian of) v. Yung</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(B.C. C.A.) at para. 67: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[67] Damages for the cost of future care serve a different purpose from awards for loss of housekeeping capacity. Unlike loss of housekeeping capacity awards, damages for the cost of future care are directly related to the expenses that may reasonably be expected to be required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22). Determining the amount of a reasonable cost of future care award entails a unique set of considerations, as Professor Cooper-Stephenson explains at 416: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that both the </w:t>
      </w:r>
      <w:r>
        <w:rPr>
          <w:rFonts w:ascii="arial" w:eastAsia="arial" w:hAnsi="arial" w:cs="arial"/>
          <w:i/>
          <w:color w:val="000000"/>
          <w:sz w:val="20"/>
          <w:lang w:val="en-US" w:eastAsia="en-US" w:bidi="ar-SA"/>
        </w:rPr>
        <w:t>need</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opportunity</w:t>
      </w:r>
      <w:r>
        <w:rPr>
          <w:rFonts w:ascii="arial" w:eastAsia="arial" w:hAnsi="arial" w:cs="arial"/>
          <w:color w:val="000000"/>
          <w:sz w:val="20"/>
          <w:lang w:val="en-US" w:eastAsia="en-US" w:bidi="ar-SA"/>
        </w:rPr>
        <w:t xml:space="preserve"> for the expenditure of moneys is relevant to the assessment. Therefore, if the plaintiff's medical condition may require care of a less expensive nature -- such as institutional care -- then the award for future cost of care should reflect that possibility. Equally, it would seem, if the evidence is not conclusive that more expensive care will be available, or that the plaintiff will find such care to be physically and emotionally satisfactory, then the award should reflect those possibilities; the reduced award will then reflect the best estimate of what will be reasonably necessary to provide optimum care. In this sense, the court is bound to look to the actual spending potential of the plaintiff. [emphasis by Professor Cooper-Stephenson]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discussed above, the plaintiff owns a hobby farm on which he raises livestock and grows vegetables and fruit. He maintains the property on his own, without the aid of neighbours or hired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plaintiff's position is that although he continues to be able to maintain the property, the work takes longer than it used to and causes him a great deal of pain. The plaintiff submits that, taking into account the nature of the property and the extent of work required to maintain it, the appropriate range for an award under this head of damages is $30,000 to $40,000: see </w:t>
      </w:r>
      <w:r>
        <w:rPr>
          <w:rFonts w:ascii="arial" w:eastAsia="arial" w:hAnsi="arial" w:cs="arial"/>
          <w:i/>
          <w:color w:val="000000"/>
          <w:sz w:val="20"/>
          <w:lang w:val="en-US" w:eastAsia="en-US" w:bidi="ar-SA"/>
        </w:rPr>
        <w:t>Borgfjord v. Penner</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2010 BCSC 1809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Fontaine v. Van Kampen</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2013 BCSC 1702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only discussed in respect of a general damages assessment, the defendants' position appears to be that since the accident, the plaintiff continues to be able to maintain his hobby farm, which includes carrying around 50-pound feed bags. Whatever pain the plaintiff experienced from the accident, it does not interfere with his capacity to work on his hobby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Having considered the evidence and the applicable legal principles, I conclude that Mr. Petrovic's homemaking or housekeeping capacity, a capital asset, has been reduced as a result of the accident. The loss, although not easily measureable, is distinct from the loss considered under general damages above and deserving of compensation. Having taken into account future contingencies, both positive and negative, it is my view that $8,000.00 is a suitable award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principles governing an award for costs of future care were recently and succinctly summarized by Ballance J. in </w:t>
      </w:r>
      <w:r>
        <w:rPr>
          <w:rFonts w:ascii="arial" w:eastAsia="arial" w:hAnsi="arial" w:cs="arial"/>
          <w:i/>
          <w:color w:val="000000"/>
          <w:sz w:val="20"/>
          <w:lang w:val="en-US" w:eastAsia="en-US" w:bidi="ar-SA"/>
        </w:rPr>
        <w:t>Suthakar</w:t>
      </w:r>
      <w:r>
        <w:rPr>
          <w:rFonts w:ascii="arial" w:eastAsia="arial" w:hAnsi="arial" w:cs="arial"/>
          <w:color w:val="000000"/>
          <w:sz w:val="20"/>
          <w:lang w:val="en-US" w:eastAsia="en-US" w:bidi="ar-SA"/>
        </w:rPr>
        <w:t>, beginning at para. 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The approach to be taken in assessing future care costs was settled by the Supreme Court of Canada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(S.C.C.) at paras. 21-22: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[124] Damages for the cost of future care are meant to compensate for the financial loss to be reasonably incurred by an injured plaintiff to sustain or promote his or her mental and physical health: </w:t>
      </w:r>
      <w:r>
        <w:rPr>
          <w:rFonts w:ascii="arial" w:eastAsia="arial" w:hAnsi="arial" w:cs="arial"/>
          <w:i/>
          <w:color w:val="000000"/>
          <w:sz w:val="20"/>
          <w:lang w:val="en-US" w:eastAsia="en-US" w:bidi="ar-SA"/>
        </w:rPr>
        <w:t>Bystedt (Guardian ad litem of) v. Bagdan</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(B.C. S.C.), aff'd </w:t>
      </w:r>
      <w:hyperlink r:id="rId705"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(B.C. C.A.) at para. 30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The claimed services and items must be medically justified. Being medically justified is not synonymous with the more stringent requirement of being medically necessary: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(B.C. S.C.) </w:t>
      </w:r>
      <w:r>
        <w:rPr>
          <w:rFonts w:ascii="arial" w:eastAsia="arial" w:hAnsi="arial" w:cs="arial"/>
          <w:i/>
          <w:color w:val="000000"/>
          <w:sz w:val="20"/>
          <w:lang w:val="en-US" w:eastAsia="en-US" w:bidi="ar-SA"/>
        </w:rPr>
        <w:t>at 198</w:t>
      </w:r>
      <w:r>
        <w:rPr>
          <w:rFonts w:ascii="arial" w:eastAsia="arial" w:hAnsi="arial" w:cs="arial"/>
          <w:color w:val="000000"/>
          <w:sz w:val="20"/>
          <w:lang w:val="en-US" w:eastAsia="en-US" w:bidi="ar-SA"/>
        </w:rPr>
        <w:t xml:space="preserve">, rev'd on other grounds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Chow v. Nolan</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2013 BCSC 1383</w:t>
        </w:r>
      </w:hyperlink>
      <w:r>
        <w:rPr>
          <w:rFonts w:ascii="arial" w:eastAsia="arial" w:hAnsi="arial" w:cs="arial"/>
          <w:color w:val="000000"/>
          <w:sz w:val="20"/>
          <w:lang w:val="en-US" w:eastAsia="en-US" w:bidi="ar-SA"/>
        </w:rPr>
        <w:t xml:space="preserve"> (B.C. S.C.) at para. 71: </w:t>
      </w:r>
      <w:r>
        <w:rPr>
          <w:rFonts w:ascii="arial" w:eastAsia="arial" w:hAnsi="arial" w:cs="arial"/>
          <w:i/>
          <w:color w:val="000000"/>
          <w:sz w:val="20"/>
          <w:lang w:val="en-US" w:eastAsia="en-US" w:bidi="ar-SA"/>
        </w:rPr>
        <w:t>Lane v. Pedersen</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2014 BCSC 1302</w:t>
        </w:r>
      </w:hyperlink>
      <w:r>
        <w:rPr>
          <w:rFonts w:ascii="arial" w:eastAsia="arial" w:hAnsi="arial" w:cs="arial"/>
          <w:color w:val="000000"/>
          <w:sz w:val="20"/>
          <w:lang w:val="en-US" w:eastAsia="en-US" w:bidi="ar-SA"/>
        </w:rPr>
        <w:t xml:space="preserve"> (B.C. S.C.) at para. 397.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Recommendations made by physicians and other health care professionals such as an occupational therapist, are relevant in determining whether an item or service is medically justified: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[2011] B.C.J. No. 513</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(B.C. S.C.), quoted with approval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However, to successfully advance a future cost of care claim it is not necessary that the health care provider testify to the medical justification of each and every item of care being claimed. What is required is some evidentiary link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31-32. General contingencies and those specific to the plaintiff are to be taken into account where and as appropriate: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52. The amount of the award is necessarily affected by the nature of the future care and its anticipated duration.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[126] The standard of proof for an award for future care is the determination of the real and substantial future possibilities: </w:t>
      </w:r>
      <w:r>
        <w:rPr>
          <w:rFonts w:ascii="arial" w:eastAsia="arial" w:hAnsi="arial" w:cs="arial"/>
          <w:i/>
          <w:color w:val="000000"/>
          <w:sz w:val="20"/>
          <w:lang w:val="en-US" w:eastAsia="en-US" w:bidi="ar-SA"/>
        </w:rPr>
        <w:t>Anderson v. Rizzardo</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2015 BCSC 2349</w:t>
        </w:r>
      </w:hyperlink>
      <w:r>
        <w:rPr>
          <w:rFonts w:ascii="arial" w:eastAsia="arial" w:hAnsi="arial" w:cs="arial"/>
          <w:color w:val="000000"/>
          <w:sz w:val="20"/>
          <w:lang w:val="en-US" w:eastAsia="en-US" w:bidi="ar-SA"/>
        </w:rPr>
        <w:t xml:space="preserve"> (B.C. S.C.) at para. 209.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Whether a plaintiff is prepared to accept care that is in his or her best interests is a relevant factor. Where the plaintiff testifies that he or she will not submit to the recommended treatment, even though it is medically justified on the evidence, the court may decide that an award ought not to be made or may discount the quantum of it: </w:t>
      </w:r>
      <w:r>
        <w:rPr>
          <w:rFonts w:ascii="arial" w:eastAsia="arial" w:hAnsi="arial" w:cs="arial"/>
          <w:i/>
          <w:color w:val="000000"/>
          <w:sz w:val="20"/>
          <w:lang w:val="en-US" w:eastAsia="en-US" w:bidi="ar-SA"/>
        </w:rPr>
        <w:t>Coulter (Guardian ad litem of) v. Ball</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Coulter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 (Litigation Guardian of) v. Yung</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Additional material considerations would include: (i) whether the plaintiff's judgment on the question of whether he or she will adhere to the recommendation has been impaired by the injuries inflicted by the tortfeasor; and, (ii) whether the evidence establishes that the plaintiff may ultimately be forced by circumstances to participate in treatment that he or she has expressed a desire to avoid, especially if the injuries are grave: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at paras. 61-62; </w:t>
      </w:r>
      <w:r>
        <w:rPr>
          <w:rFonts w:ascii="arial" w:eastAsia="arial" w:hAnsi="arial" w:cs="arial"/>
          <w:i/>
          <w:color w:val="000000"/>
          <w:sz w:val="20"/>
          <w:lang w:val="en-US" w:eastAsia="en-US" w:bidi="ar-SA"/>
        </w:rPr>
        <w:t>Van v. Howlett</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2014 BCSC 1404</w:t>
        </w:r>
      </w:hyperlink>
      <w:r>
        <w:rPr>
          <w:rFonts w:ascii="arial" w:eastAsia="arial" w:hAnsi="arial" w:cs="arial"/>
          <w:color w:val="000000"/>
          <w:sz w:val="20"/>
          <w:lang w:val="en-US" w:eastAsia="en-US" w:bidi="ar-SA"/>
        </w:rPr>
        <w:t xml:space="preserve"> (B.C. S.C.) at paras. 78-79.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The court, therefore, should be cautious about reducing or eliminating altogether an award for the cost of future care simply on the basis that the injured plaintiff has not confirmed a willingness to participate in a medically justified course of care, or currently says that he or she will not follow the recommended treatment. The court should act with similar circumspection where the plaintiff has not previously used the recommended type of treatment. This is because fairness requires that the court be alive to the prospect that an injured person's disposition may change, or that he or she may not have had the means or ability to follow certain courses of treatment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evidence is that as of the date of trial he has received more than 40 chiropractic treatments from Dr. McDiarmid. These treatments have helped him to some extent, including an increase in his functionality.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did not provide a professionally prepared cost of future care analysis as part of the evidence at trial. With respect to the plaintiff's anticipated future care regimen, the plaintiff has limited his claim to the rehabilitation program prepared by Dr. McDiarmid and endorsed by Dr. Reynolds. This consists of ongoing spinal manipulative therapy ("SMT") and a regimented fitness program under the guidance of a certified kinesiologist, presumably to take place at a gym or exercise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submits that according to Dr. McDiarmid, the proposed SMT regime will cost approximately $5,400 over the next five years and that the costs of hiring a certified kinesiologist ranges from $50-$75 per hour. Further, he suggests that Mr. Petrovic will need a monthly/yearly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acknowledging the inherent uncertainty in arriving at a precise amount for these costs, the plaintiff submits that an award of $7,500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position is that the plaintiff has not provided sufficient evidence to support a claim for future care costs, noting that the plaintiff waited two years before attending chiropractic sessions, which were described as "passive therapies" by Dr. Reynolds. Moreover, the plaintiff has not shown that he will actually use active therapies like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also note that Dr. Marks is of the opinion that no further investigation of the plaintiff's injuries is required and that there is no indication of further need for formal therapy or facility-based management. However, for the reasons stated above, I place little weight on the expert opinion of Dr.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have taken into consideration the fact that Mr. Petrovic waited for some time before seeking therapeutic treatment for his injuries. However, as discussed in </w:t>
      </w:r>
      <w:r>
        <w:rPr>
          <w:rFonts w:ascii="arial" w:eastAsia="arial" w:hAnsi="arial" w:cs="arial"/>
          <w:i/>
          <w:color w:val="000000"/>
          <w:sz w:val="20"/>
          <w:lang w:val="en-US" w:eastAsia="en-US" w:bidi="ar-SA"/>
        </w:rPr>
        <w:t>Suthakar</w:t>
      </w:r>
      <w:r>
        <w:rPr>
          <w:rFonts w:ascii="arial" w:eastAsia="arial" w:hAnsi="arial" w:cs="arial"/>
          <w:color w:val="000000"/>
          <w:sz w:val="20"/>
          <w:lang w:val="en-US" w:eastAsia="en-US" w:bidi="ar-SA"/>
        </w:rPr>
        <w:t>, I am not prepared to discount the relatively modest amounts being sought by the plaintiff. The evidence, which I have accepted, is that Mr. Petrovic is a stoic individual who has, up to the date of trial, attended more than 40 chiropractic sessions which he claims provides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am satisfied that there is a real and substantial future possibility that Mr. Petrovic will participate in the care plan prepared by Dr. McDiarmid and endorsed by Dr. Reynolds, which I find to be medically justified. In light of my findings, and having applied the relevant principles, I conclude that Mr. Petrovic is entitled to an award for costs of future care. An award of $7,500 is fair and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seeks $2,807.80 in special damages in respect of costs incurred prior to trial and has provided documentation in support this claim. Specifically, the plaintiff seeks $466.22 for amounts relating to repair of his car, $56.58 for the cost of a rental car, and $2,330 for the cost of medical treatment provided by Dr. McDiarmid.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oppose an award for special damages. With respect to the cost of medical treatment, the defendants submit that it took the plaintiff more than two years to attend chiropractic services for which Dr. Reynolds never referred the plaintiff. Further, the defendants argue that, according to Dr. McDiarmid, Mr. Petrovic's "major complaint" in December 2015 was his left shoulder injury -- an injury which the defendants argue is not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test for special damages is whether the amounts sought were reasonable expenses arising from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Having considered the arguments from both the plaintiff and the defendants, I conclude that the expenses incurred by Mr. Petrovic to obtain chiropractic treatments from Dr. McDiarmid are reasonable expenses arising from injuries caused by the MVA. The plaintiff is awarded $2,330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result, I award the plaintiff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$ 75,000.00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income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homemaking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$ 8,000.00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$ 7,500.00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$ 2,852.80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$143,352.80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During submissions, counsel for the defence also spoke of the need for an order that $71.76 is payable by the defence to the Ministry of Health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I am making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parties have discussed and settled the issue of costs. The defendants will pay to the plaintiff single costs of this action to March 11, 2016 and double costs of a five-day trial, plus taxes thereon and disbursements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September 24, 2018</w:t>
      </w:r>
      <w:r>
        <w:rPr>
          <w:rFonts w:ascii="arial" w:eastAsia="arial" w:hAnsi="arial" w:cs="arial"/>
          <w:sz w:val="20"/>
          <w:lang w:val="en-US" w:eastAsia="en-US" w:bidi="ar-SA"/>
        </w:rPr>
        <w:cr/>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front page of the judgment was corrected to add co-counsel for the plaintiff, Mr. S. Missaghi</w:t>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 85, the table in para. 86, and para. 88 are also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Anhalt v. Flowers, [2013] B.C.J. No. 1682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 and November 13, 2012; April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43541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1682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2013 BCSC 1378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[2013] I.L.R. I-5472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Anhalt, Plaintiff, and Monique Kathleen Flowers, a.k.a. Monique Kathleen McCardle, James Stewart, Insurance Corporation of British Columbia, John Doe and James Jerrett, Defendants, and Monique Kathleen Flowers,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2" w:name="Keywords_36"/>
      <w:bookmarkEnd w:id="232"/>
      <w:r>
        <w:rPr>
          <w:rFonts w:ascii="arial" w:eastAsia="arial" w:hAnsi="arial" w:cs="arial"/>
          <w:b/>
          <w:color w:val="000000"/>
          <w:sz w:val="20"/>
          <w:lang w:val="en-US" w:eastAsia="en-US" w:bidi="ar-SA"/>
        </w:rPr>
        <w:t>Civil litigation — Civil procedure — Summary judgments — Evidence — No triable issue — Procedure — To dismiss action — Costs — Discretion — Application by defendant Flowers for dismissal of claims against her dismissed — Plaintiff claimed damages for injuries suffered in motor vehicle accident in British Columbia caused by defendant who could be Jerrett or Stewart driving Flowers' vehicle — Flowers claimed only gave consent for Jerrett to drive vehicle in Alberta — Evidence of process server Wilson admitted, stating Jerrett said he was Stewart, was sufficient to dispose of application --- Issue of consent for trial — Dismissing claims against Flowers would be miscarriage of justice — Costs awarded to Flowers because without application plaintiff would not have obtained necessary evidence — Supreme Court Civil Rules, Rules 8-1(14), 9-6, 9-6(4), 9-6(5)(a), 9-7.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Evidence — Admissibility — Objections — Procedure — Application by defendant Flowers for dismissal of claims against her dismissed — Plaintiff claimed damages for injuries suffered in motor vehicle accident in British Columbia caused by defendant who could be Jerrett or Stewart driving Flowers' vehicle — Flowers claimed only gave consent for Jerrett to drive vehicle in Alberta — Evidence of process server Wilson admitted, stating Jerrett said he was Stewart, was sufficient to dispose of application --- Issue of consent for trial — Dismissing claims against Flowers would be miscarriage of justice — Costs awarded to Flowers because without application plaintiff would not have obtained necessary evidence — Supreme Court Civil Rules, Rules 8-1(14), 9-6, 9-6(4), 9-6(5)(a), 9-7.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Practice and procedure — Judgments and orders — Summary judgments — Application by defendant Flowers for dismissal of claims against her dismissed — Plaintiff claimed damages for injuries suffered in motor vehicle accident in British Columbia caused by defendant who could be Jerrett or Stewart driving Flowers' vehicle — Flowers claimed only gave consent for Jerrett to drive vehicle in Alberta — Evidence of process server Wilson admitted, stating Jerrett said he was Stewart, was sufficient to dispose of application --- Issue of consent for trial — Dismissing claims against Flowers would be miscarriage of justice — Costs awarded to Flowers because without application plaintiff would not have obtained necessary evidence — Supreme Court Civil Rules, Rules 8-1(14), 9-6, 9-6(4), 9-6(5)(a), 9-7.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Automobile insurance — Compulsory government schemes — Claims against parties unknown — Application by defendant Flowers for dismissal of claims against her dismissed — Plaintiff claimed damages for injuries suffered in motor vehicle accident in British Columbia caused by defendant who could be Jerrett or Stewart driving Flowers' vehicle — Flowers claimed only gave consent for Jerrett to drive vehicle in Alberta — Evidence of process server Wilson admitted, stating Jerrett said he was Stewart, was sufficient to dispose of application --- Issue of consent for trial — Dismissing claims against Flowers would be miscarriage of justice — Costs awarded to Flowers because without application plaintiff would not have obtained necessary evidence — Supreme Court Civil Rules, Rules 8-1(14), 9-6, 9-6(4), 9-6(5)(a), 9-7.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3" w:name="Case Summary_33"/>
            <w:bookmarkEnd w:id="2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Flowers for the dismissal of the plaintiff's action and the defendant Insurance Corporation of British Columbia's ("ICBC") third party claim against her with costs on the basis that there was no genuine issue for trial. The plaintiff commenced an action for damages for injuries suffered in a motor vehicle accident in British Columbia. The other vehicle was registered to Flowers but was reported stolen. Flowers offered a ride to the defendant Jerrett but was then arrested on a mental health warrant for 18 days. She had last seen her vehicle in the care of Jerrett with her consent but she stated she had only given him permission to drive the vehicle in Alberta. The plaintiff claimed the driver of Flowers' vehicle was either the man at the scene who identified himself as Stewart, or Jerrett, or alternately an unidentified motorist. Flowers denied that Stewart was driving her vehicle with her consent. An examination for discovery of Jerrett was conducted at a late date and Flowers objected to the introduction of that evidence. Flowers also objected to the introduction of the affidavit of the process server Wilson. Wilson said Jerrett told him Flowers' gave him permission to drive her vehicle, that he was in a car accident, and at that time he was going by the surname Stewart.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4" w:name="Holdings of Court_28"/>
            <w:bookmarkEnd w:id="23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importance of Rule 9-6 was that it weeded out those claims or defences that had no chance of success. The burden of proof was on Flowers to show there was no issue to be tried. If there were no material facts in dispute, there was no issue for trial. Pursuant to the Motor Vehicle Act, if the driver of the vehicle was unknown, it could not be shown that Flowers was vicariously liable in that she gave her consent, express or implied, to operate the vehicle at the time of the accident. Flowers' mental capacity was not in issue as it was not raised in the pleadings. Her credibility was not relevant until the identity of the driver was established. The plaintiff and ICBC argued that the matter of severance required determination prior to hearing Flowers' application. However, the cases they relied upon were pursuant to Rule 9-7 seeking summary judgment on the merits of the action deciding an issue of liability separate from the damages stemming from liability. They had nothing to do with the subject application. The evidence of Wilson was admissible against Jerrett and Stewart but not against Flowers as it would be hearsay. The burden of proof was on Jerrett, also known as Stewart, that he had the consent of Flowers to drive her vehicle at the time of the accident. As a result of the identification of Stewart as Jerrett, it was Jerrett to whom Flowers gave her vehicle for him to drive. Whether Flowers' consent extended to driving in British Columbia was a matter for trial. It was not sufficient to say that the plaintiff could satisfy his claim by the uninsured or unidentified motorist fund. Dismissing the claims against Flowers would be a miscarriage of justice. It was not until this application was brought did the plaintiff wake up to the fact that he could not prove that Stewart had the vehicle with Flowers' consent and he should have acted more swiftly. For purposes of Flowers' application, the affidavit of Wilson was sufficient to dismiss her application. However, for purposes of trial, it would be necessary to have examined Jerrett to hear from his mouth that he was alleging that he had Flowers' consent to drive her vehicle. The court had the discretion to allow the introduction of Jerrett's examination for discovery. In permitting the introduction of Jerrett's examination for discovery and Wilson's affidavit, Flowers was not prejudiced. Her defence was not changed in that she stated she gave limited consent to Jerrett to drive her motor vehicle. That issue had not changed. What changed was that Jerrett was one and the same as Stewart. Even though Flowers was not successful, she was awarded costs because the application would not have been necessary had the plaintiff acted with proper dispatch in pursuing Jerrett's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5" w:name="Legislation Cited_16"/>
      <w:bookmarkEnd w:id="2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84" w:history="1">
        <w:r>
          <w:rPr>
            <w:rFonts w:ascii="arial" w:eastAsia="arial" w:hAnsi="arial" w:cs="arial"/>
            <w:i/>
            <w:color w:val="0077CC"/>
            <w:sz w:val="20"/>
            <w:u w:val="single"/>
            <w:shd w:val="clear" w:color="auto" w:fill="FFFFFF"/>
            <w:lang w:val="en-US" w:eastAsia="en-US" w:bidi="ar-SA"/>
          </w:rPr>
          <w:t>RSBC 1996, CHAPTER 318, s. 86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Subpoena (Interprovincial) Act, </w:t>
      </w:r>
      <w:r>
        <w:rPr>
          <w:rFonts w:ascii="arial" w:eastAsia="arial" w:hAnsi="arial" w:cs="arial"/>
          <w:i/>
          <w:color w:val="000000"/>
          <w:sz w:val="20"/>
          <w:lang w:val="en-US" w:eastAsia="en-US" w:bidi="ar-SA"/>
        </w:rPr>
        <w:t>RSBC 1996, CHAPTER 442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8-1(14), Rule 9-6, Rule 9-6(4), Rule 9-6(5)(a),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6" w:name="Counsel_36"/>
      <w:bookmarkEnd w:id="2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Zak.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C. Cavanagh.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Monique Kathleen McCardle: D.F. Hooker, A.P. Prior.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7" w:name="Judgment_36"/>
      <w:bookmarkEnd w:id="237"/>
      <w:r>
        <w:pict>
          <v:line id="_x0000_s1198"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8" w:name="H. HYSLOP J."/>
            <w:bookmarkEnd w:id="238"/>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3, 2009, at Kamloops, British Columbia, Mr. John Anhalt alleges that he was injured in a motor vehicle accident for which he seeks damages. He claims that the other driver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the collision occurred, the driver of the car that collided with the vehicle that Mr. Anhalt was driving, asked Mr. Anhalt whether he could pay for the damages. Mr. Anhalt declined the offer stating that he did not know the extent of the damages to his vehicle. Within minutes of the accident, two police officers arrived separately. Mr. Anhalt told one of the police officers how the accident happened. That police officer spoke to the other driver. The police officer gave Mr. Anhalt a piece of paper that had the other driver's name, the name of the owner of the other vehicle, the license plate number of the other vehicle, and its insurance particulars. This vehicle had Alberta license plates, the owner was Monique Kathleen Flowers, residing at Sherwood Park, Alberta, and the driver was James Stewart, born July 25,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Upon investigation, Mr. Anhalt learned that the vehicle which Mr. Stewart had been driving was reported 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or about April 21, 2009, Ms. Flowers, also known as Monique McCardle, embarked on a motor trip in her vehicle, which is the same vehicle that struck Mr. Anhalt's vehicle. Her intention was to drive to Toronto. On her way, at a service station and in Saskatchewan, she encountered a man who identified himself as John James Jerrett. Ms. Flowers decided to give Mr. Jerrett a ride to Edmonton. Before doing so, he provided Ms. Flowers with his Saskatchewan driver's license with a photograph depicting his likeness, stating his name and a birth date of July 25,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Upon Ms. Flowers and Mr. Jerrett's arrival in Edmonton, Ms. Flowers offered Mr. Jerrett accommodation. Shortly after her arrival in Edmonton, Ms. Flowers was arrested by the police on an Alberta mental health warrant, and she was taken to hospital where she remained for about 18 days. She last saw her vehicle in the care of Mr. Jerrett with her consent and she has not seen it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background of events leads to the application brought by Ms. Flowers, which is that Mr. Anhalt's action and the Insurance Corporation of British Columbia's ("ICBC") third party claim against her be dismissed with costs. The dismissal is sought pursuant to Rule 9-6(4) and (5)(a)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by answering party</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basis of summarily dismissing Mr. Anhalt's and ICBC's claims is that there is no genuine issue for trial. I received, on behalf of Ms. Flowers, an extensive and well thought out submissions seeking dismissal of these claims against Ms. Flowers.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However, during submissions, Mr. Anhalt's counsel advised me that he had set up an examination for discovery of Mr. Jerrett, scheduled to be heard on October 2, 2012 in Moose Jaw, Saskatchewan. He provided proof of the arrangements. At the end of this application, I reserved my decision. Subsequently, I sent a memorandum to counsel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Zak stated that he has taken out an appointment to examine John James Jerrett on October 2, 2012 in Moose Jaw, Saskatchewan. I have concluded that should the examination of Mr. Jerrett take place on that date, the plaintiff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with notice to Ms. McCardle and I.C.B.C., appear before me on a date agreed upon no later than October 17, 2012. At that time, the plaintiff may provide any further evidence that arises from the examination of Mr. Jerrett.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considering this application, I am reminded that Mr. Anhalt alleged that he suffered a wrong, and damages flowing from that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[1980] B.C.J. No. 2112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 B.C.L.R. 330</w:t>
      </w:r>
      <w:r>
        <w:rPr>
          <w:rFonts w:ascii="arial" w:eastAsia="arial" w:hAnsi="arial" w:cs="arial"/>
          <w:color w:val="000000"/>
          <w:sz w:val="20"/>
          <w:lang w:val="en-US" w:eastAsia="en-US" w:bidi="ar-SA"/>
        </w:rPr>
        <w:t xml:space="preserve"> p, Mr. Justice Esson, in considering an application pursuant to the predecessor of Rule 9-6, previously Rule 18,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most important of the basic principles which governed applications under O. 14 was: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litigant must be allowed his day in Court, and must not be deprived of a trial in the ordinary way unless it is manifestly clear that he is without a defence that deserves to be tried. It is not the function of a Judge who hears an application under 0. 14 [predecessor to Rule 18] to try disputed issues of fact or law. His duty and power are limited to determining whether, on the relevant facts and applicable law, there is a bona fide triable issue.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 Hughes v. Sharp  </w:t>
      </w:r>
      <w:hyperlink r:id="rId720" w:history="1">
        <w:r>
          <w:rPr>
            <w:rFonts w:ascii="arial" w:eastAsia="arial" w:hAnsi="arial" w:cs="arial"/>
            <w:i/>
            <w:color w:val="0077CC"/>
            <w:sz w:val="20"/>
            <w:u w:val="single"/>
            <w:shd w:val="clear" w:color="auto" w:fill="FFFFFF"/>
            <w:lang w:val="en-US" w:eastAsia="en-US" w:bidi="ar-SA"/>
          </w:rPr>
          <w:t>(1969) 5 D.L.R. (3d) 760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important to review the steps taken in this litigation up to the hearing of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November 20,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Anhalt, as plaintiff, issued a writ and statement of claim naming Ms. Flowers, James Stewart, ICBC, and John Doe as defendants. In the statement of claim, amongst other matters, Mr. Anhalt alleged that Mr. Stewart was the driver of the car that struck his vehicle on the day of the accident, and that the car was driven by Mr. Stewart with the consent of Ms. Flowers. In the statement of claim, an alternate claim was made against an unidentified motorist.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ICBC filed a statement of defence, and as an alternative claim states that the alleged injuries of the plaintiff were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Monique Flowers and James Stewart.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October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response to civil claim was filed by Ms. Flowers. In that response, Ms. Flowers denied that Mr. Stewart was driving her vehicle with her consent. In that response Ms. Flowers set out what I have described as her meeting with John Jerrett. In that response she stated: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April 2009, Flowers met an individual by the name of John Jerrett in or about Prince Albert, Saskatchewan. Flowers gave Mr. Jerrett a ride to Sherwood Park, Alberta, on the understanding that Mr. Jerrett had family or friends in Edmonton, Alberta. Flowers provided Mr. Jerrett with lodging at her residence for a few nights.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late April 2009, Flowers lent the Ford Escape (as that term is defined in the Statement of Claim) to Mr. Jerrett on the express understanding that Mr. Jerrett was only to use the Ford Escape for limited travel within Edmonton, Alberta.</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the last time Flowers saw Mr. Jerrett.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the last time Flowers saw the Ford Escape.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Pursuant to a court order, an amended notice of civil claim was filed by Mr. Anhalt. The amended notice of civil claim added Ms. Flowers' other name that she is known by, Monique Kathleen McCardle, and John James Jerrett. In the amended notice of civil claim, it stated that James Stewart and/or the defendant, John James Jerrett, was the driver of Ms. Flowers' vehicle when it struck Mr. Anhalt's vehicle. The alternate claim states that John Doe was driving when Mr. Anhalt's vehicle was struck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27,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Jerrett was served at 941 Athabasca Street East, Moose Jaw, Saskatchewan, with the amended notice of civil claim. Mr. Jerrett did not file a response.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May 27,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 examination for discovery of Ms. Flowers was conducted by ICBC's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June 9 and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third party notice and an amended third party notice was filed by ICBC alleging that Mr. Stewart or John Doe drove the vehicle at the time of the accident with the consent of Ms. Flowers.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July 18,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notice to admit was issued by Ms. Flowers to ICBC and Mr. Anhalt. As a result of the notice to admit, ICBC acknowledged that matters relating to whether Mr. Anhalt or the police saw the driver's identification, a description of the individual, the vehicle leaving the scene and its whereabouts, and the unknown driver, which ICBC stated "...are either outside the direct knowledge of this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Anhalt's reply to the same notice to admit dated July 26, 2012 is more extensive. Summarized, Mr. Anhalt states he has no recollection of the physical appearance of the driver and the various details concerning the RCMP's activities when they attended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Ms. Flowers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Flowers' statement of the law in considering whether to dismiss claims under Rule 9-6(4) and (5)(a) is correct in that: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importance of this Rule is that it weeds out those claims or defences that have </w:t>
      </w:r>
      <w:r>
        <w:rPr>
          <w:rFonts w:ascii="arial" w:eastAsia="arial" w:hAnsi="arial" w:cs="arial"/>
          <w:color w:val="000000"/>
          <w:sz w:val="20"/>
          <w:u w:val="single"/>
          <w:lang w:val="en-US" w:eastAsia="en-US" w:bidi="ar-SA"/>
        </w:rPr>
        <w:t>no chance</w:t>
      </w:r>
      <w:r>
        <w:rPr>
          <w:rFonts w:ascii="arial" w:eastAsia="arial" w:hAnsi="arial" w:cs="arial"/>
          <w:color w:val="000000"/>
          <w:sz w:val="20"/>
          <w:lang w:val="en-US" w:eastAsia="en-US" w:bidi="ar-SA"/>
        </w:rPr>
        <w:t xml:space="preserve"> of success;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"no chance of its success" rests with the person seeking the dismissal of the claim; in this case, Ms. Flowers;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meet success for a summary judgment under Rule 9-6(4) and (5)(a), it must be demonstrated that there is no issue to be tried. Should the applicant discharge this obligation, then the court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dismiss the claim;</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are no material facts in dispute, then there is no issue for trial. In this action, Ms. Flowers says that the driver of the vehicle is unknown. If the driver of the vehicle is unknown, then the plaintiff, the defendant, and third party - ICBC, cannot show that Ms. Flowers is vicariously liable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in that she gave her consent, either express or implied, to operate her vehicle at the time of the accident;</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obligation of Mr. Anhalt, ICBC, and Ms. Flowers in this summary application to the court is stated in </w:t>
      </w:r>
      <w:r>
        <w:rPr>
          <w:rFonts w:ascii="arial" w:eastAsia="arial" w:hAnsi="arial" w:cs="arial"/>
          <w:i/>
          <w:color w:val="000000"/>
          <w:sz w:val="20"/>
          <w:lang w:val="en-US" w:eastAsia="en-US" w:bidi="ar-SA"/>
        </w:rPr>
        <w:t>Papaschase Indian Band No. 136 v. Canada (Attorney General)</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The court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For this reason, the bar on a motion for summary judgment is high. The defendant who seeks summary dismissal bears the evidentiary burden of showing that there is "no genuine issue of material fact requiring trial": ... Each side must "put its best foot forward" with respect to the existence or non-existence of material issues to be tried: Transamerica Life Insurance Co. of Canada v. Canada Life Assurance Co. </w:t>
      </w:r>
      <w:hyperlink r:id="rId722" w:history="1">
        <w:r>
          <w:rPr>
            <w:rFonts w:ascii="arial" w:eastAsia="arial" w:hAnsi="arial" w:cs="arial"/>
            <w:i/>
            <w:color w:val="0077CC"/>
            <w:sz w:val="20"/>
            <w:u w:val="single"/>
            <w:shd w:val="clear" w:color="auto" w:fill="FFFFFF"/>
            <w:lang w:val="en-US" w:eastAsia="en-US" w:bidi="ar-SA"/>
          </w:rPr>
          <w:t>(1996), 28 O.R. (3d) 423</w:t>
        </w:r>
      </w:hyperlink>
      <w:r>
        <w:rPr>
          <w:rFonts w:ascii="arial" w:eastAsia="arial" w:hAnsi="arial" w:cs="arial"/>
          <w:color w:val="000000"/>
          <w:sz w:val="20"/>
          <w:lang w:val="en-US" w:eastAsia="en-US" w:bidi="ar-SA"/>
        </w:rPr>
        <w:t xml:space="preserve"> (Gen. Div.), at p. 434; Goudie v. Ottawa (City), </w:t>
      </w:r>
      <w:hyperlink r:id="rId723" w:history="1">
        <w:r>
          <w:rPr>
            <w:rFonts w:ascii="arial" w:eastAsia="arial" w:hAnsi="arial" w:cs="arial"/>
            <w:i/>
            <w:color w:val="0077CC"/>
            <w:sz w:val="20"/>
            <w:u w:val="single"/>
            <w:shd w:val="clear" w:color="auto" w:fill="FFFFFF"/>
            <w:lang w:val="en-US" w:eastAsia="en-US" w:bidi="ar-SA"/>
          </w:rPr>
          <w:t>[2003] 1 S.C.R. 141</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2003 SCC 14</w:t>
        </w:r>
      </w:hyperlink>
      <w:r>
        <w:rPr>
          <w:rFonts w:ascii="arial" w:eastAsia="arial" w:hAnsi="arial" w:cs="arial"/>
          <w:color w:val="000000"/>
          <w:sz w:val="20"/>
          <w:lang w:val="en-US" w:eastAsia="en-US" w:bidi="ar-SA"/>
        </w:rPr>
        <w:t xml:space="preserve">, at para. 32. The chambers judge may make inferences of fact based on the undisputed facts before the court, as long as the inferences are strongly supported by the facts: Guarantee Co. of North America, </w:t>
      </w:r>
      <w:hyperlink r:id="rId724"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at para. 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summary trial judgment cannot be defeated by reference to what might be pleaded in the future: </w:t>
      </w:r>
      <w:r>
        <w:rPr>
          <w:rFonts w:ascii="arial" w:eastAsia="arial" w:hAnsi="arial" w:cs="arial"/>
          <w:i/>
          <w:color w:val="000000"/>
          <w:sz w:val="20"/>
          <w:lang w:val="en-US" w:eastAsia="en-US" w:bidi="ar-SA"/>
        </w:rPr>
        <w:t>Papaschase Indian Band No. 136</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[19] We add this. In the Court of Appeal and here, the case for the plaintiffs was put forward, not only on the basis of evidence actually adduced on the summary judgment motion, but on suggestions of evidence that might be adduced, or amendments that might be made, if the matter were to go to trial. A summary judgment motion cannot be defeated by vague references to what may be adduced in the future, if the matter is allowed to proceed. To accept that proposition would be to undermine the rationale of the rule. A motion for summary judgment must be judged on the basis of the pleadings and materials actually before the judge, not on suppositions about what might be pleaded or proved in the future. This applies to Aboriginal claims as much as to any others.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such a summary application as this, in </w:t>
      </w:r>
      <w:r>
        <w:rPr>
          <w:rFonts w:ascii="arial" w:eastAsia="arial" w:hAnsi="arial" w:cs="arial"/>
          <w:i/>
          <w:color w:val="000000"/>
          <w:sz w:val="20"/>
          <w:lang w:val="en-US" w:eastAsia="en-US" w:bidi="ar-SA"/>
        </w:rPr>
        <w:t>Skybridge Investments Ltd. v. Metro Motors Ltd. (c.o.b. Metro Ford)</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If </w:t>
      </w:r>
      <w:r>
        <w:rPr>
          <w:rFonts w:ascii="arial" w:eastAsia="arial" w:hAnsi="arial" w:cs="arial"/>
          <w:color w:val="000000"/>
          <w:sz w:val="20"/>
          <w:u w:val="single"/>
          <w:lang w:val="en-US" w:eastAsia="en-US" w:bidi="ar-SA"/>
        </w:rPr>
        <w:t>sufficient</w:t>
      </w:r>
      <w:r>
        <w:rPr>
          <w:rFonts w:ascii="arial" w:eastAsia="arial" w:hAnsi="arial" w:cs="arial"/>
          <w:color w:val="000000"/>
          <w:sz w:val="20"/>
          <w:lang w:val="en-US" w:eastAsia="en-US" w:bidi="ar-SA"/>
        </w:rPr>
        <w:t xml:space="preserve"> material facts have been pleaded to support every element of a cause of action, but one or more of those pleaded material facts are contested, then the judge ruling on a Rule 18(6) application is not to weigh the evidence to determine the issue of fact for the purpose of the application. The judge's function is limited to a determination as to whether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arises on the material before the court in the context of the applicable law. If a judge ruling on a Rule 18(6) application must assess and weigh the evidence to arrive at a summary judgment, the "plain and obvious" or "beyond a doubt" test has not been met.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same time, the state of the case may be, as Mr. Justice Harris stated in </w:t>
      </w:r>
      <w:r>
        <w:rPr>
          <w:rFonts w:ascii="arial" w:eastAsia="arial" w:hAnsi="arial" w:cs="arial"/>
          <w:i/>
          <w:color w:val="000000"/>
          <w:sz w:val="20"/>
          <w:lang w:val="en-US" w:eastAsia="en-US" w:bidi="ar-SA"/>
        </w:rPr>
        <w:t>Veritas Geophysical (Nigeria) Ltd. v. Energulf Resources Inc.</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2010 BCSC 1253</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There are, however, circumstances in which an application for summary judgment pursuant to Rule 18 may be premature. Where, for example, a party has not had an opportunity to develop evidence through the discovery process on issues raised by the pleadings, it may not be appropriate to grant summary judgment: </w:t>
      </w:r>
      <w:r>
        <w:rPr>
          <w:rFonts w:ascii="arial" w:eastAsia="arial" w:hAnsi="arial" w:cs="arial"/>
          <w:i/>
          <w:color w:val="000000"/>
          <w:sz w:val="20"/>
          <w:lang w:val="en-US" w:eastAsia="en-US" w:bidi="ar-SA"/>
        </w:rPr>
        <w:t>Phillips Paul v. Malak Holdings Ltd.</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2002 BCSC 1191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 Anhalt and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Anhalt and ICBC oppose this application. Mr. Anhalt claims that before this application can be heard, the mental competency of Ms. Flowers must be addressed as it relates to her credibility. Mr. Anhalt states that "the plaintiff cannot ascertain whether Flowers was or is mentally competent to address the issues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Firstly, Ms. Flowers' mental competency is not a factor as it is not an issue raised in the pleadings. As to Ms. Flowers' credibility, it is not relevant. Ms. Flowers' credibility is only relevant and considered as to the claims against her once the identity of the driver is established; this is, who was driving Ms. Flowers' car when it struck Mr. Anhalt's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Both Mr. Anhalt and ICBC argue that before this application was heard, the matter of severance must be adjudicated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application by Ms. Flowers is brought pursuant to Rule 9-6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not Rule 9-7. Rule 9-7 is a summary trial wherein the court firstly determines whether the issues are suitable to be disposed of by summary trial, and, if so, the court will then dispose of those issues raised in the evidence (usually affidavits)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Rule 9-6 and Rule 9-7 have very little in common with each other, other than their place in the Rules, and the orders sought are final. Part 9 of the Rules which is headed "Pre-Trial Resolution Procedures" is a misnomer as Rule 9-7 is a form of trial, a summary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matter of severance assumes that parts of the trial will be adjudicated separately. In an application pursuant to Rule 9-6, the court does not weigh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each of the cases relied upon by Mr. Anhalt and ICBC that relate to severance, the applications are made pursuant to Rule 9-7 seeking summary judgment on the merits of the action deciding an issue of liability separate from the damages stemming from liability. Severance simply has nothing to do with the application before me. What the court is asked to do is to dismiss the plaintiff and ICBC's claim against Ms. Flowers as Ms. Flowers states that she has demonstrated that neither ICBC nor Mr. Anhalt can prove the material fact, which is: did Ms. Flowers give consent to either James Stewart, John Doe, or John Jerrett to drive her car when the accident occurred so as to find vicarious liability against Ms. Flowers pursuant to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 stated earlier, counsel for Mr. Anhalt took out an appointment to examine John James Jerrett in the Court of Queen's Bench in Moose Jaw, Saskatchewan on October 2, 2012. On September 21, 2012, Mr. Jerrett was served with the appointment, together with conduct money. Mr. Jerrett was served at #12 - 231 High Street West, Moose Jaw, Saskatchewan. Mr. Jerrett did not appear at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Zak travelled to Moose Jaw, Saskatchewan, to examine Mr. Jerrett. While there, he contacted Dave Wilson, a process server, who on three occasions served documents in this action on Mr. Jerrett/Stewart. Mr. Zak took this opportunity to take a statement from Mr. Wilson under oath. That statement was transcribed.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Anhalt seeks to enter an affidavit sworn by Mr. Wilson on October 29, 2012. Mr. Wilson said he attended the hospital where Mr. John James Jerrett was a patient. He had a conversation with him. Mr. Jerrett told Mr. Wilson that Ms. Flowers gave him permission to drive her vehicle. Mr. Jerrett told Mr. Wilson he was in a car accident in Kamloops, and at the time of the accident he was going by the surname of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November 13, 2012, Mr. Anhalt brought an application seeking leave to enter the affidavit of David Wilson sworn October 29, 2012, to further amend their amended response dated September 24, 2012, and to make further submissions on the summary application that was heard on September 27, 2012. Ms. Flowers objects to the introduction of Mr. Wilson's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basis of that objection is that the evidence does not meet the conditions of my memorandum dated September 28, 2012; the evidence sought to be introduced does not meet the requirements of Rule 8-1(14), and the evidence that Mr. Anhalt seeks to introduce is not evidence that is acceptable under Rule 9-6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evidence of Mr. Wilson is admissible as against Mr. Jerrett and Mr. Stewart, but not against Ms. Flowers as it would be hearsay. Mr. Anhalt can rely on the admission in Ms. Flowers' response to civil claim that she had given Mr. Jerrett consent to drive her vehicle in the Edmonton area before she was placed in hospital. Ms. Flowers admits in her response to civil claim that at one point in time, she gave her consent to Mr. Jerrett to drive her vehicle. Whether this consent extends to driving it to British Columbia is another matter and it is a matter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admission in the response to the civil claim was before the court at the hearing on September 27, 2012. The missing link is who was Mr. Stewart and how did Mr. Stewart end up with possession of Ms. Flowers' vehicle. Mr. Wilson's affidavit answers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Justice Esson was referring to in </w:t>
      </w:r>
      <w:r>
        <w:rPr>
          <w:rFonts w:ascii="arial" w:eastAsia="arial" w:hAnsi="arial" w:cs="arial"/>
          <w:i/>
          <w:color w:val="000000"/>
          <w:sz w:val="20"/>
          <w:lang w:val="en-US" w:eastAsia="en-US" w:bidi="ar-SA"/>
        </w:rPr>
        <w:t>Progressive Construction Ltd.</w:t>
      </w:r>
      <w:r>
        <w:rPr>
          <w:rFonts w:ascii="arial" w:eastAsia="arial" w:hAnsi="arial" w:cs="arial"/>
          <w:color w:val="000000"/>
          <w:sz w:val="20"/>
          <w:lang w:val="en-US" w:eastAsia="en-US" w:bidi="ar-SA"/>
        </w:rPr>
        <w:t xml:space="preserve"> comments on evidence that may not be in an admissible 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It was also held in cases decided under O. 14 that information and belief affidavits were not admissible in answer to a motion for summary judgment: W.H. Malkin Ltd. v. Jackson (1963), 44 W.W.R. 63. It may no longer be necessary to prohibit a respondent to a R. 18 application from relying upon information and belief. It is obviously right that an applicant who invokes this extraordinary procedure should not be allowed to rely upon anything but direct evidence. But to apply the same rule to respondents may be unfair. The respondent, at that stage, need only raise a doubt as to whether it is manifestly clear that his case is bad. There are two bases on which he might now be permitted to rely on affidavits deposing to statements by others as to material facts. One is that, by a combination of R. 40(42) and 51(9), there is a discretion to permit statements on information and belief. The other possible basis is that an affidavit testifying to what somebody else has said may be direct evidence of a fact which, on the application, is material for the respondent to prove, i.e., that he has knowledge of a potential witness. Often it is impractical, by reason of constraints of time or distance, to obtain affidavits from potential witnesses, and sometimes it is impossible -- there being no power equivalent to the subpoena which can require a person to swear an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Federal Business Development Bank v. Pallan</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[1978] B.C.J. No. 1068</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9 B.C.L.R. 59</w:t>
        </w:r>
      </w:hyperlink>
      <w:r>
        <w:rPr>
          <w:rFonts w:ascii="arial" w:eastAsia="arial" w:hAnsi="arial" w:cs="arial"/>
          <w:color w:val="000000"/>
          <w:sz w:val="20"/>
          <w:lang w:val="en-US" w:eastAsia="en-US" w:bidi="ar-SA"/>
        </w:rPr>
        <w:t>, Mr. Justice Toy had before him an application pursuant to Rule 18 of the then Rules. The plaintiff was seeking judgment on a guarantee of the three personal defendants who opposed such a judgment. Mr. Justice Toy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Plaintiff's counsel correctly submitted to me that an application under R. 18(1) is for a final order and consequently the defendants may not rely upon information and belief or hearsay evidence, the receivability of which is restricted to interlocutory applications pursuant to R. 51(9). I am therefore bound to ignore the information and belief evidence contained in paras. 9 and 10 of the Mr. Pallan's affidavit.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facts upon which the defendants must rely to establish this defence are not within the defendants' sphere of knowledge or activities and it is unlikely that the evidence in support thereof could be obtained without a full disclosure by a discovery of documents and examinations for discovery of the plaintiff's officers or agents. Accordingly, at this stage it is impossible for me to say that on an application of this kind such a defence is devoid of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recognize that the burden of proof is on the plaintiff, John James Jerrett, also known as James Stewart, that he had the consent of Ms. Flowers to drive her vehicle at the time of the accident. As a result of the identification of James Stewart as John James Jerrett, it was Mr. Jerrett to whom Ms. Flowers gave her vehicle for him to drive. The evidence contained in Mr. Wilson's affidavit is the kind of evidence that both Mr. Justice Esson and Mr. Justice Toy had in mind with </w:t>
      </w:r>
      <w:r>
        <w:rPr>
          <w:rFonts w:ascii="arial" w:eastAsia="arial" w:hAnsi="arial" w:cs="arial"/>
          <w:i/>
          <w:color w:val="000000"/>
          <w:sz w:val="20"/>
          <w:lang w:val="en-US" w:eastAsia="en-US" w:bidi="ar-SA"/>
        </w:rPr>
        <w:t>Progressive Construction Ltd.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Federal Business Development Bank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Flowers argues that if I permit the introduction of the evidence of Mr. Wilson's affidavit and his sworn statement, "the utility of Rule 9-6 would be seriously compromised." She goes on to argue that this Rule prevents claims or defences with no chance of success from proceeding to trial, thus avoiding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purpose of Rule 9-6 is not to prevent cases which have merit from being heard. It is not sufficient to say that Mr. Anhalt can satisfy his claim by the uninsured or unidentified motorist fund. That may not be open to Mr. Anhalt as at this stage he has evidence that points to Mr. Jerrett driving Ms. Flowers'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Dismissing Mr. Anhalt and ICBC's claims against Ms. Flowers would be a miscarriage of justice. It could be easily argued that at the time the application was brought by Ms. Flowers, Mr. Anhalt had not completed his investigation as to who was driving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An examination for discovery took place of Mr. Jerrett on December 3, 2012. Counsel for Ms. Flowers and ICBC were present. Its introduction was the subject matter of a hearing held on April 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Flowers objects to the introduction of this examination for discovery of Mr. Jerrett.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By this time and on November 5, 2012, Mr. Anhalt sought a subpoena to be issued under the </w:t>
      </w:r>
      <w:r>
        <w:rPr>
          <w:rFonts w:ascii="arial" w:eastAsia="arial" w:hAnsi="arial" w:cs="arial"/>
          <w:i/>
          <w:color w:val="000000"/>
          <w:sz w:val="20"/>
          <w:lang w:val="en-US" w:eastAsia="en-US" w:bidi="ar-SA"/>
        </w:rPr>
        <w:t>Subpoena (Interprovincial)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442</w:t>
      </w:r>
      <w:r>
        <w:rPr>
          <w:rFonts w:ascii="arial" w:eastAsia="arial" w:hAnsi="arial" w:cs="arial"/>
          <w:color w:val="000000"/>
          <w:sz w:val="20"/>
          <w:lang w:val="en-US" w:eastAsia="en-US" w:bidi="ar-SA"/>
        </w:rPr>
        <w:t xml:space="preserve"> for service of a subpoena for Mr. Jerrett's attendance at the trial of this action which was to proceed before a jury on January 21, 2013. The subpoena was adopted by the Court of Queen's Bench in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December 6, 2012, the trial was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Anhalt argues that pursuant to Rule 9-6(5)(d)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that the court has the discretion to consider the examination for discovery of Mr. Jerrett: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addition, Mr. Anhalt argues that the court retains the discretion to reopen this hearing for the admission of additional evidence: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Mr. Anhalt argues that it is not the function of this court on a summary application which has been brought pursuant to Rule 9-6 to weigh the evidence or to decide on conflicting evidence. Mr. Anhalt argues it would be a serious miscarriage of justice in the event this evidence was not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was of the view that with the introduction of Mr. Wilson's affidavit, his sworn statement, and Ms. Flowers' response to civil claim, that Ms. Flowers' application should be dismissed. If I am wrong, I will now then consider whether Mr. Jerrett's examination for discovery, held on December 3, 2012, should be introduced. The only difference will be that Mr. Wilson's evidence is hearsay, and the contents of the examination for discovery, as it relates to consent, express or implied, will no longer be hearsay (Ms. Flowers alleges limited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was not until this application was brought did Mr. Anhalt wake up to the fact that they could not prove that Mr. Stewart had the vehicle with Ms. Flowers' consent. Ms. Flowers argues that this was a tactical decision made by Mr. Anhalt. I agree that it is incumbent upon Mr. Anhalt to obtain evidence about the identity of Mr. Stewart and Mr. Jerrett. Had he acted more swiftly, Mr. Jerrett's examination for discovery would have taken place earlier at which time Mr. Anhalt, at trial, would be there to prove that Mr. Jerrett had Ms. Flowers' vehicle with her consent, and Ms. Flowers would be countering this evidence that her consent was limited. As I stated before, for purposes of Ms. Flowers' application, the information from Mr. Wilson in his affidavit is sufficient to defeat Ms. Flowers' application. However, for purposes of trial, it would be necessary to have examined Mr. Jerrett to hear from his mouth that he was alleging that he had Ms. Flowers' consent to drive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Veritas Geophysical (Nigeria) Ltd.,</w:t>
      </w:r>
      <w:r>
        <w:rPr>
          <w:rFonts w:ascii="arial" w:eastAsia="arial" w:hAnsi="arial" w:cs="arial"/>
          <w:color w:val="000000"/>
          <w:sz w:val="20"/>
          <w:lang w:val="en-US" w:eastAsia="en-US" w:bidi="ar-SA"/>
        </w:rPr>
        <w:t xml:space="preserve"> Mr. Justice Harris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There are, however, circumstances in which an application for summary judgment pursuant to Rule 18 may be premature. Where, for example, a party has not had an opportunity to develop evidence through the discovery process on issues raised by the pleadings, it may not be appropriate to grant summary judgment: </w:t>
      </w:r>
      <w:r>
        <w:rPr>
          <w:rFonts w:ascii="arial" w:eastAsia="arial" w:hAnsi="arial" w:cs="arial"/>
          <w:i/>
          <w:color w:val="000000"/>
          <w:sz w:val="20"/>
          <w:lang w:val="en-US" w:eastAsia="en-US" w:bidi="ar-SA"/>
        </w:rPr>
        <w:t>Phillips Paul v. Malak Holdings Ltd.</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2002 BCSC 1191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An application heard under Rule 9-6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is not for purposes of deciding whether Mr. Jerrett had Ms. Flowers' consent to drive her vehicle at the time of the accident. The obligation is the burden of Mr. Anhalt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opposition to this application, Ms. Flowers relies on cases, save </w:t>
      </w:r>
      <w:r>
        <w:rPr>
          <w:rFonts w:ascii="arial" w:eastAsia="arial" w:hAnsi="arial" w:cs="arial"/>
          <w:i/>
          <w:color w:val="000000"/>
          <w:sz w:val="20"/>
          <w:lang w:val="en-US" w:eastAsia="en-US" w:bidi="ar-SA"/>
        </w:rPr>
        <w:t>Litynsky v. Litynsky</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2012 BCSC 1160</w:t>
        </w:r>
      </w:hyperlink>
      <w:r>
        <w:rPr>
          <w:rFonts w:ascii="arial" w:eastAsia="arial" w:hAnsi="arial" w:cs="arial"/>
          <w:color w:val="000000"/>
          <w:sz w:val="20"/>
          <w:lang w:val="en-US" w:eastAsia="en-US" w:bidi="ar-SA"/>
        </w:rPr>
        <w:t>, which seek to introduce new evidence, or reconsideration of the decision by the court. This is an application not a trial. These cases are not relevant, as the cases referred to by Ms. Flowers, the court heard all the evidence at a trial and had ruled on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exercise my discretion and allow the introduction of Mr. Jerrett's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permitting the introduction of Mr. Jerrett's examination for discovery and Mr. Wilson's affidavit, Ms. Flowers has not been prejudiced. Her defence has not changed in that she states she gave limited consent to Mr. Jerrett to drive her motor vehicle. The issue has not changed. What has changed is that Mr. Jerrett is one and the same as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Ms. Flowers has asked to speak to costs. My inclination is, despite Mr. Anhalt and ICBC's success, this application would not have been made had Mr. Anhalt, upon learning of Mr. Jerrett's existence, had proceeded with some dispatch in pursuing Mr. Jerrett's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case of ICBC, their defence to this application has mirrored that of Mr. Anhalt's.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see no reason to order costs to Mr. Anhalt, or ICBC, or that each of the parties bear their own costs. As a result, I order costs of this application to Ms. Flowers, but only for the application and the appearance of September 27, 2012, and not for the preparation and appearances for November 13, 2012 and April 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These comments on costs do not prevent any of the parties from appearing before me to argue the matter of costs. Ms. Flowers' counsel may appear by telephone. Counsel are to advise the Manager of Supreme Court Scheduling within 30 days if they wish to appear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CIT Financial Ltd. v. Gee Force Logistics Inc., [2020] B.C.J. No. 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16-17, 19-20 and 23-26,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8,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S145763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CIT Financial Ltd., Plaintiff, and Gee Force Logistics Inc. and Kulwinder Singh Heer,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9" w:name="Keywords_37"/>
      <w:bookmarkEnd w:id="239"/>
      <w:r>
        <w:rPr>
          <w:rFonts w:ascii="arial" w:eastAsia="arial" w:hAnsi="arial" w:cs="arial"/>
          <w:b/>
          <w:color w:val="000000"/>
          <w:sz w:val="20"/>
          <w:lang w:val="en-US" w:eastAsia="en-US" w:bidi="ar-SA"/>
        </w:rPr>
        <w:t>Commercial law — Consumer agreements — Leases of goods — Civil remedies — Contracts — Torts — Misrepresentation — Fraudulent misrepresentation — Conspiracy — Action by plaintiff financing company seeking judgment against defendant Gee Force pursuant to lease for two commercial trucks and corresponding guarantee of Heer allowed — Counterclaim by Gee Force for damages for fraudulent misrepresentation and conspiracy dismissed — Heer, who did not speak English, signed lease and personal guarantee — Gee Force made no payments under lease — Plaintiff was protected by terms of lease and could not be found liable for representations that might have been made by dealer — Plaintiff was granted judgment for balance owing of $170,313 and special costs on solicitor and client basis.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Agency — Authority of agent — Apparent or ostensible authority — Action by plaintiff financing company seeking judgment against defendant Gee Force pursuant to lease for two commercial trucks and corresponding guarantee of Heer allowed — Counterclaim by Gee Force for damages for fraudulent misrepresentation and conspiracy dismissed — Heer, who did not speak English, signed lease and personal guarantee — Gee Force made no payments under lease — Plaintiff was protected by terms of lease and could not be found liable for representations that might have been made by dealer — Plaintiff was granted judgment for balance owing of $170,313 and special costs on solicitor and client basis.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Mistake — Non est factum — Action by plaintiff financing company seeking judgment against defendant Gee Force pursuant to lease for two commercial trucks and corresponding guarantee of Heer allowed — Counterclaim by Gee Force for damages for fraudulent misrepresentation and conspiracy dismissed — Heer, who did not speak English, signed lease and personal guarantee — Gee Force made no payments under lease — Plaintiff was protected by terms of lease and could not be found liable for representations that might have been made by dealer — Plaintiff was granted judgment for balance owing of $170,313 and special costs on solicitor and client basis.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Creditors and debtors law — Guarantees and indemnities — Guarantee — Liability of guarantor — Action by plaintiff financing company seeking judgment against defendant Gee Force pursuant to lease for two commercial trucks and corresponding guarantee of Heer allowed — Counterclaim by Gee Force for damages for fraudulent misrepresentation and conspiracy dismissed — Heer, who did not speak English, signed lease and personal guarantee — Gee Force made no payments under lease — Plaintiff was protected by terms of lease and could not be found liable for representations that might have been made by dealer — Plaintiff was granted judgment for balance owing of $170,313 and special costs on solicitor and client basis.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In contract — Breach of contract — Type of contract — Leases — Action by plaintiff financing company seeking judgment against defendant Gee Force pursuant to lease for two commercial trucks and corresponding guarantee of Heer allowed — Counterclaim by Gee Force for damages for fraudulent misrepresentation and conspiracy dismissed — Heer, who did not speak English, signed lease and personal guarantee — Gee Force made no payments under lease — Plaintiff was protected by terms of lease and could not be found liable for representations that might have been made by dealer — Plaintiff was granted judgment for balance owing of $170,313 and special costs on solicitor and client basis.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0" w:name="Case Summary_34"/>
            <w:bookmarkEnd w:id="2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financing company seeking judgment against the defendant Gee Force pursuant to a lease for two commercial trucks and the corresponding guarantee of Heer. Counterclaim by Gee Force for damages for fraudulent misrepresentation and conspiracy. Heer, who did not speak or read English, was Gee Force's past sole director and officer. The plaintiff's witnesses testified the lease and guarantee were orally translated into Punjabi for Heer at a meeting. Heer denied receiving any explanations of the documents he signed. He did not sign bills of sale at the meeting. Bills of sale were subsequently signed by Towers, an employee of Gee Force. Gee Force made no payments under the lease. The trucks were never insured for road use and were not removed from the lot of the dealer, Harbour International. The plaintiff repossessed the trucks and sold them, leaving an outstanding balance of $170,313.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1" w:name="Holdings of Court_29"/>
            <w:bookmarkEnd w:id="241"/>
            <w:r>
              <w:rPr>
                <w:rFonts w:ascii="arial" w:eastAsia="arial" w:hAnsi="arial" w:cs="arial"/>
                <w:color w:val="000000"/>
                <w:sz w:val="20"/>
                <w:lang w:val="en-US" w:eastAsia="en-US" w:bidi="ar-SA"/>
              </w:rPr>
              <w:t>HELD: Action allowed;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reasonable for the plaintiff to infer Towers was in an agency relationship and had ostensible authority to sign the bills of sale for Gee Force. Heer knew the documents he signed were part of a commercial transaction involving the trucks. He had an obligation to take reasonable care to ensure the documents he signed were not fundamentally different from what he had been led to believe. Heer was liable due to the personal nature of the guarantee. An agency argument between the plaintiff and Harbour International was not based on a reasonable interpretation of the commercial relationship between the parties, in which the plaintiff was merely a financier. The plaintiff was protected by the terms of the lease and could not be found liable for representations that might have been made by Harbour International. The elements of the tort of civil conspiracy were not met. The plaintiff was granted judgment for the balance owing of $170,313 and special costs on a solicitor and client basis.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2" w:name="Legislation Cited_17"/>
      <w:bookmarkEnd w:id="2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hyperlink r:id="rId738" w:history="1">
        <w:r>
          <w:rPr>
            <w:rFonts w:ascii="arial" w:eastAsia="arial" w:hAnsi="arial" w:cs="arial"/>
            <w:i/>
            <w:color w:val="0077CC"/>
            <w:sz w:val="20"/>
            <w:u w:val="single"/>
            <w:shd w:val="clear" w:color="auto" w:fill="FFFFFF"/>
            <w:lang w:val="en-US" w:eastAsia="en-US" w:bidi="ar-SA"/>
          </w:rPr>
          <w:t>R.S.B.C. 1996, c. 79,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3" w:name="Counsel_37"/>
      <w:bookmarkEnd w:id="2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G.G. Plottel, C. Dayan.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Virk.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4" w:name="Judgment_37"/>
      <w:bookmarkEnd w:id="244"/>
      <w:r>
        <w:pict>
          <v:line id="_x0000_s1203"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March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March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Bills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EVIDENTIARY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of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Subpoena Mr. Towers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ENFORCEABILITY OF THE LEASE AND THE GUARANTEE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Bills of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Enforceability of the Guarantee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Non Est Factum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FRAUDULENT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Joint Tortfeasors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5" w:name="L.D. RUSSELL J."/>
            <w:bookmarkEnd w:id="245"/>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a commercial lease financing agreement for two commercial trucks. The former plaintiff, CIT Financial Ltd. was a national financing company based in Ontario. LBEL Inc. acquired CIT Financial's lease portfolio after this action was commenced and was substituted as plaintiff by consent. For ease of reference, the plaintiff will continue to be referred to as "CIT".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are Gee Force Logistics Inc. ("Gee Force"), a B.C. company which provides short-haul trucking services in the Lower Mainland, and its past sole director and officer, Mr. Kulwinder Heer. Mr. Sukhdev Bains, who is not a party in this action but played a key role throughout the events leading to this lawsuit, is currently the sole director and officer of Gee Force, and a director of Royal City Trucking Ltd. ("Royal City"), a long-haul trucking company incorporated in B.C. and operating across western Canada and the western United States. Royal City was the original lessor of the two trucks at issue here. Mr. Bains is Mr. Heer's brother-in-law.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judgment, jointly and severally against Gee Force and Mr. Heer, pursuant to a lease for two commercial trucks to Gee Force (the "Lease") and the corresponding guarantee of Mr. Heer (the "Guarantee"). The plaintiff seeks to recover a balance of $170,313.44 under these agreements, and additional contractual interest totalling $72,060.08 as of the first day of trial. Also pursuant to the Lease and Guarantee, CIT seeks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argue in response that the Lease and Guarantee are unenforceable and the action against them should be dismissed. They argue by counterclaim that CIT is liable in tort for fraudulent misrepresentation and civil conspiracy for which Gee Force should be awarded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seeks the dismissal of the defendants' counterclaim. If special costs are not granted pursuant to the Lease and Guarantee, the plaintiff seeks special costs resulting from the serious nature of the defendants' counterclaim against CIT and the baseless allegations of fraud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Notably, the defendants attempted to serve a third party notice against Harbour International Trucks Ltd. ("Harbour International"), a commercial truck dealer based in Langley, B.C., in this action, but an order by Master Keighley dated January 28, 2015 denied them leave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2011, Harbour International provided five trucks under warranty for use by Royal City. The title to these five trucks was held by two financiers of the transaction that are not relevant to this litigation. The financier of the two trucks in issue was General Electric Canada Equipment Finance GP ("GE Financial"). By 2013, Royal City and its proprietor, Mr. Bains, were experiencing trouble with the maintenance of the trucks, allegedly causing difficulty particularly in the long-haul journeys in which Royal City specializes. CIT maintains it was unaware of the maintenance issues causing the animus between Royal City and Harbour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Due to trouble with the maintenance of the trucks, Mr. Bains asked Harbour International to facilitate the transfer of the trucks to Gee Force. This would allow Royal City to recover its equity in the trucks and Gee Force, which operated primarily in the Lower Mainland, could use the trucks experiencing mechanical failures in its short hauls and if necessary, have them promptly repaired by Harbour International which is based in the Lower Mainland. Only the transfer of two of the five trucks is at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transfer was organized as a "flow-through" transaction. Title for the two trucks would pass from the financiers of the 2011 transaction through Harbour International and ultimately to CIT. CIT would finance this transaction in return for regular lease payments from Gee Force. Title to the trucks would pass from CIT to Gee Force after it completed two years of payments under the Lease. Any remaining balance of the purchase price paid by CIT to Harbour International and the lease buyout price paid by Harbour International to the 2011 financier would be paid to Royal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assert that CIT, Harbour International and Gee Force entered into a verbal agreement on March 13, 2013 (the "Supplementary Verbal Agreement"), most of which pertained to the maintenance and servicing of the trucks. It is clear the terms within this alleged agreement would pertain to the dealer of the trucks, Harbour International, rather than to the financier, CIT. There is no corroborating evidence to support the existence of this agreement. Moreover, CIT was not privy to any conversations between Mr. Bains and Harbour International prior to March 14, 2013. Therefore, I find that no such Supplementary Verbal Agreement was entered into that could affect the legal relationship between Gee Force, Mr. Heer and 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14, 2013, CIT was contacted by Harbour International and asked if it would facilitate Gee Force's acquisition of the trucks. Ms. Karen Coombes, the lease manager of Harbour International, sent Mr. Jay Cassels, CIT's B.C. account executive, an email attaching the credit application of Gee Force and Mr. Heer's personal financial statement. In the email, Ms. Coombes stated the personal financial statement of Mr. Heer was provided since "[t]here is no Equifax on the company". Equifax is a Canadian credit reporting service. CIT used the provided documents and conducted its own credit investigations and corporate searches to determine whether they would provide financing for the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March 19, 2013, Mr. Cassels advised Ms. Coombes via email that CIT would agree to finance the acquisition of the trucks on certain terms. On March 26, 2013, Mr. Cassels forwarded the Lease documents to Ms. Coombes, in anticipation of a meeting on that day or the next with a representative from Gee Force to execute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flow-through transaction was to be completed in a meeting at the offices of Harbour International on March 26, 2013 (the "March meeting"). Resolving the legal issues in the case requires a description of the factual circumstances of the March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March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Present at the March meeting were Mr. Heer, Ms. Coombes, Mr. Cassels, and Mr. Kartar Lakhesar, a salesman at Harbour International who speaks Punjabi. Mr. Milad Towers, who had been an employee of Gee Force for only two months starting February 2013, drove Mr. Heer to Harbour International's offices. Due to animosity between Harbour International and Mr. Bains, Mr. Bains had been asked not to come to Harbour International's offices and therefore did not attend the March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March 2013, Mr. Heer was the sole signing authority for Gee Force. An immigrant to Canada, Mr. Heer neither speaks nor reads English, only Punjabi. The only words he can write in English are "K S HEER", which is how he signs his name. Mr. Lakhesar was present to translate the documents Mr. Heer was expected to sign from English to Punjabi. The plaintiff, CIT, was unaware of Mr. Heer's language barriers until he attended Harbour International's offices on March 26,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Heer brought with him a VanCity cheque for $54,320 to be paid to Harbour International, as a down payment on all five trucks. Mr. Heer gave the cheque to Ms. Coombes. Mr. Bains instructed Mr. Towers and Mr. Heer to ask for Mr. Lakhesar at Harbour International, whom Mr. Bains knew to speak Punjabi through his past dealings with Harbour International. Mr. Heer also provided Ms. Coombes with his driver's licence as proof of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not in dispute that Mr. Heer, Mr. Cassels, Mr. Lakhesar and Ms. Coombes attended the March meeting. Mr. Towers waited in the car or in the showroom while the documents were signed. It is not in dispute that the meeting lasted around 15 minutes. The parties agree Mr. Heer signed the following documents: The Equipment Delivery and Acceptance, the Lease Schedule, the Guarantee, and the Lease (also called the Master Lease Agreement). Some pertinent terms of the Master Lease Agreement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Master Lease Agreement ("Agreement"), including the terms and conditions on the reverse side hereof and any schedules hereto, correctly sets for the entire agreement between CIT Financial Ltd. ("Lessor") and Lessee [Gee Force]. No agreements or understandings shall be binding on either of the parties hereto unless in writing and executed by the parties 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Default. Time Is of the essence and it shall be a default hereunder ("Default") and under all Schedules if: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Lessee fails to pay any Rental or other amounts payable under any Schedule or hereunder when due in the manner specified;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Default and any time thereafter Lessor may, in addition to any other right or remedy Lessor may have at law or in equity CIT shall have the rights and remedies set out below, all or which shall be enforced successively, concurrently and/or cumulatively:</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further notice, take possession of the Equipment under any or all Schedules ("Repossession") and for such purpose Lessee hereby grants Lessor the right to enter its premises at the then current Equipment location for the purpose of Repossession and waives claims for any damages, whether to property or otherwise, arising out of a Repossession and acknowledges that Lessor may retain all prior payments as partial compensation for the use of the Equipment, and sell or lease the Equipment upon such terms as Lessor determines with our without notice, at private or public sale, with or without having the Equipment at the sale ("Disposition");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Lessee will pay all costs arising or incurred by Lessor as a result of Default, including reasonable legal fees on a solicitor and his own client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Indemnification. Lessee shall be responsible for, and shall indemnify and save Lessor harmless from and against, all losses, claims, costs, expenses, damages, actions and liabilities, including without limitation solicitor's fees on a solicitor and his own client basis, in connection with, or arising from this Agreement and/or any Schedule, the Equipment and the acquisition, possession, return ownership, leasing, use and operation of the Equipment. This indemnity shall survive termination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asserts, and the defendants deny, that Mr. Heer signed the Credit Application form dated March 13 and 14, 2013. It seems unlikely that Mr. Heer did not sign the Credit Application since it contains a substantial amount of personal information that would not have been known to anyone but Mr. Heer. Mr. Heer also signed documents pertaining to the three trucks which are not at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Guarantee reads, amongst other things: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VALUABLE CONSIDERATION, receipt of which is hereby acknowledged, the undersigned [Mr. Heer] (the 'Guarantor'), and each of them jointly and severally (if more than Guarantor), hereby irrevocably and unconditionally guarantees as primary obligor and not merely as surety, without offset or deduction, the full and prompt performance and payment by Gee Force Logistics Inc. ("Debtor") to CIT Financial Ltd. ("CIT")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any and all present and future debts, liabilities, and obligations, direct or indirect, absolute or contingent, mature or otherwise ("Liabilities") incurred by the debtor without any limitations.</w:t>
      </w:r>
    </w:p>
    <w:p>
      <w:pPr>
        <w:numPr>
          <w:numId w:val="1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Guarantor also irrevocably and unconditionally guarantees, as primary debtor and not merely as a surety, all legal fees and disbursements and all other costs, charges and expenses that CIT incurs enforcing its rights against the Debtor.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Heer's signature appears above the line that states "(Corporate Guarantor)". The signature line above the words "(Individual Guarantor)" remains unsigned, with the corresponding contact information unfilled. The line for corporate guarantor is immediately above the line for individual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witnesses, Ms. Coombes, Mr. Cassels, and Mr. Lakhesar, testify Mr. Cassels described and explained the nature of each document Mr. Heer was asked to sign. These descriptions were translated into Punjabi for Mr. Heer by Mr. Lakhesar. Mr. Cassels would also point where exactly Mr. Heer was supposed to sign, after which Mr. Heer would sign the document. According to the plaintiff's witnesses, Mr. Heer appeared to understand and asked no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had Mr. Heer been uncertain about the meaning and effect of the documents he was signing, Mr. Heer was free to take the unsigned documents away from the meeting and take them to Mr. Bains for review, or to Mr. Towers who was waiting close to where the meeting occurred. The plaintiff's witnesses testify Mr. Heer was provided with copies of all documents he signed, and Ms. Coombes forwarded the originals to CIT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particular, Mr. Lakhesar testified that Mr. Heer appeared to understand when Mr. Lakhesar explained that the Guarantee had the effect of making him personally liable for Gee Force's payment obligations to CIT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a conflict on the evidence concerning the descriptions of the documents at the meeting. Mr. Heer testifies that he did not receive any descriptions or explanations of the documents he was presented. He further testified he was simply told to sign, and he did so where indicated on the documents. Contrary to the plaintiff's witnesses, Mr. Heer testifies he was not provided with copies of the documents he signed, but admits he forwarded a copy of the Lease sent to him by CIT Financial on April 5, 2013 to Mr. Bains.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March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March meeting, CIT paid Harbour $203,251.24, the purchase price for the two trucks. Funding was accepted on April 5, 2013. Out of that, Harbour International kept $1,250 as a facilitation fee. Allegedly, it disbursed a vast majority of that money to the 2011 financier who currently held title to the trucks, and the remaining $35,872.57 to Royal City, Mr. Bains' long-haul trucking company, for its portion of the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Bains testified Royal City never received the money towards the equity of the trucks. I need not make any finding on this allegation. Mr. Bains will have the opportunity to litigate this claim in a separate action he has commenced against Harbour International. Neither Harbour International nor Royal City are parties to this action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some point shortly after the March meeting, Mr. Bains found out from Goldmine Insurance that insurance on the five trucks had been completed. Mr. Bains was allegedly confused by this, since he maintains nobody from Gee Force signed the Bills of Sale which would be necessary to receive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Bains testifies that on April 5, 2013, Mr. Lakhesar advised Mr. Bains that the trucks were ready, but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not contested that Gee Force made no payments under the Lease. The trucks were never insured for road use and they stayed on Harbour International's premises until they were sold. On May 10, 2013, CIT demanded payment owed for the trucks under the Lease from Mr. Heer. No payment ever arrived. CIT repossessed the trucks on or about May 27, 2013 and after providing notice of disposition to Gee Force and Mr. Heer, sold the two trucks at issue on June 16, 2014 and realized net proceeds of $58,836.80. As of July 4, 2014, the outstanding balance Gee Force owed to CIT was $170,313.44.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Bills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addition to the extent of Mr. Lakhesar's translation of the document descriptions at the March meeting, a major factual disagreement exists regarding signatures on the Bills of Sale. A Bill of Sale would be required to obtain insurance on the trucks and signifies that the title of the trucks has been transferred. Therefore, there are two Bills of Sale, one for each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Bill of Sale forms are identical, except each refers to the truck whose title it is intended to transfer. The standard forms are Harbour International documents entitled "Motor Vehicle Purchase Agreement" and dated March 26, 2013. The purchasers are listed as CIT and Gee Force, with a purchase price of $97,000. The dealer is Harbour International Trucks. The serial number and a brief description of each truck is provided. The signature of a representative for the purchaser appears in two places on both of the documents, all four signatures are identical and each is different from Mr. Heer's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Coombes testifies that after the March meeting, Mr. Towers returned to Harbour International to enquire about the documents needed to insure the trucks. Ms. Coombes testifies Mr. Towers signed the Bills of Sale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offers no explanation as to why the Bills of Sale were not signed by Mr. Heer at the March meeting, or why they are dated as being signed at the March meeting if they were signed at some point after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deny that anyone from Gee Force signed the Bills of Sale. They allege someone at Harbour International forged Mr. Heer's signature, or if Ms. Coombes' testimony is deemed credible, Mr. Towers himself forged Mr. Heer's signature. Based on the vast difference in the appearance of the signature on the Bills of Sale and Mr. Heer's signature on the other documents, a forgery is extremely unlikely. In addition, there is no evidence to support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parties agree that the issues to be determined in the action are:</w:t>
      </w:r>
      <w:r>
        <w:rPr>
          <w:rFonts w:ascii="arial" w:eastAsia="arial" w:hAnsi="arial" w:cs="arial"/>
          <w:sz w:val="20"/>
          <w:lang w:val="en-US" w:eastAsia="en-US" w:bidi="ar-SA"/>
        </w:rPr>
        <w:cr/>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Lease and Guarantee enforceable?</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Lease ineffective as the trucks were not accepted by Gee Force and Gee Force did not take physical possession of the trucks?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Alternatively, does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operate to render the Lease unenforceable against Gee Force?</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operate to render the Guarantee unenforceable against Mr. Heer?</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CIT liable in damages to Gee Force for fraudulent misrepresentation?</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reasonable for Gee Force to infer from the conduct of CIT that CIT consented to an agency relationship with Harbour International?</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is CIT liable as a joint tortfeasor?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CIT liable in damages to Gee Force for 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Evidentiary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of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were inconsistencies in the evidence provided by the defendants' witnesses and minor inconsistencies in the plaintiff's witnesses' evidence, particularly in relation to the March meeting. Therefore, the credibility of their testimony must be addressed. At trial, Ms. Coombes, Mr. Lakhesar, and Mr. Cassels testified for the plaintiffs. Mr. Heer and Mr. Bains testified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testimony of various witnesses is central to the issues in this case.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(B.C.C.A) outlines the approach to assess the credibility of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w:t>
      </w:r>
      <w:r>
        <w:rPr>
          <w:rFonts w:ascii="arial" w:eastAsia="arial" w:hAnsi="arial" w:cs="arial"/>
          <w:color w:val="000000"/>
          <w:sz w:val="20"/>
          <w:u w:val="single"/>
          <w:lang w:val="en-US" w:eastAsia="en-US" w:bidi="ar-SA"/>
        </w:rPr>
        <w:t>the real test of the truth of the story of a witness in such a case must be its harmony with the preponderance of the probabilities which a practical and informed person would readily recognize as reasonable in that place and in those conditions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Since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courts have developed a set of factors which may be used to apply the test for assessing credibility. This non-exhaustive list of factors was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186-87, aff'd </w:t>
      </w:r>
      <w:hyperlink r:id="rId16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capacity and opportunity of the witness to observe the events at issue;</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ability to remember those events;</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witness to resist being influenced by his or her interest in recalling those events;</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internal and external consistency of the witness's evidence;</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his or her testimony change between direct and cross-examination; are there inconsistencies in between prior statements, discovery evidence and his or her evidence at trial;</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witness's evidence harmonizes with or is contradicted by other evidence, particularly independent or undisputed evidence;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his or her evidence seems unreasonable, improbable or unlikely, bearing in mind the probabilities affecting the case; and</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witness's demeanour, meaning the way he or she presents while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argues Mr. Heer's evidence should be rejected for a number of reasons. First, Ms. Coombes, Mr. Lakhesar, and Mr. Cassels have vivid and actual recollections of the March meeting such as the seating arrangements of the individuals involved and even such details as Mr. Heer's eye colour. None of their recollections was contradicted at trial. Second, during Mr. Heer's cross-examination, his recollection of the meeting was selective to the point of damaging his credibility. Third, the occasional answer he did give other than "I don't recall", was clearly scripted. Fourth, in addition to the contradictions within Mr. Heer's evidence, Mr. Heer admitted to swearing an affidavit without knowing what it stated. Lastly, none of the Harbour witnesses or Mr. Cassels has any personal interest in the outcome of this case, whereas Mr. Heer has a motive for representing that the documents were not described to him or signed by him, as he is a shareholder of Gee Force and judgment is sought against him on his Guarantee. He stands to lose his personal assets if he is unable to satisfy any judgment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agree with the plaintiff on the issues of credibility. The evidence of each of the plaintiff's witnesses largely corresponds with that of the other two. Mr. Heer's language barrier must be taken into account when considering his evasive demeanour on the stand. However, the issues with Mr. Heer's testimony go much further than his inability to speak English. Mr. Heer's recollection of the March meeting is highly selective to the point of suspicion. Mr. Heer's testimony at trial deviated from his affidavits and was contradictory on several occasions. It seemed apparent that Mr. Heer's self-interest, or interest in protecting Mr. Bains influenced his testimony. In consideration of the relevant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factors, I must find that where Mr. Heer's evidence contradicts that of the other witnesses, the evidence of other witnesses must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Given this, I find that while Mr. Lakhesar did not do a line-by-line translation of the documents from English to Punjabi for the benefit of Mr. Heer, he translated Mr. Cassels' explanations at least to the extent that Mr. Heer would have known the general nature of each document he was signing, including the personal nature of the Guarantee and the consequences of non-payment under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Subpoena Mr. Towers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Both the plaintiff and defendants argue that an adverse inference should be drawn against the opposing party for failing to call Mr. Towers as a witness. The plaintiff quotes the following legal principles from </w:t>
      </w:r>
      <w:r>
        <w:rPr>
          <w:rFonts w:ascii="arial" w:eastAsia="arial" w:hAnsi="arial" w:cs="arial"/>
          <w:i/>
          <w:color w:val="000000"/>
          <w:sz w:val="20"/>
          <w:lang w:val="en-US" w:eastAsia="en-US" w:bidi="ar-SA"/>
        </w:rPr>
        <w:t>Singh v. Reddy</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2019 BCCA 79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principle is described by authors S.N. Lederman, A.W. Bryant and M.K. Fuerst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(2018, 5th ed.) as follows:</w:t>
      </w:r>
    </w:p>
    <w:p>
      <w:pPr>
        <w:numPr>
          <w:numId w:val="3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6.471 In civil cases, an unfavorable inference can be drawn when, in the absence of an explanation, a party litigant does not testify, or fails to provide affidavit evidence on an application, or fails to call a witness who would have knowledge of the facts and </w:t>
      </w:r>
      <w:r>
        <w:rPr>
          <w:rFonts w:ascii="arial" w:eastAsia="arial" w:hAnsi="arial" w:cs="arial"/>
          <w:color w:val="000000"/>
          <w:sz w:val="20"/>
          <w:u w:val="single"/>
          <w:lang w:val="en-US" w:eastAsia="en-US" w:bidi="ar-SA"/>
        </w:rPr>
        <w:t>would be assumed to be willing to assist that party</w:t>
      </w:r>
      <w:r>
        <w:rPr>
          <w:rFonts w:ascii="arial" w:eastAsia="arial" w:hAnsi="arial" w:cs="arial"/>
          <w:color w:val="000000"/>
          <w:sz w:val="20"/>
          <w:lang w:val="en-US" w:eastAsia="en-US" w:bidi="ar-SA"/>
        </w:rPr>
        <w:t xml:space="preserve">. In the same vein, an adverse inference may be drawn against a party who does not call a material witness </w:t>
      </w:r>
      <w:r>
        <w:rPr>
          <w:rFonts w:ascii="arial" w:eastAsia="arial" w:hAnsi="arial" w:cs="arial"/>
          <w:color w:val="000000"/>
          <w:sz w:val="20"/>
          <w:u w:val="single"/>
          <w:lang w:val="en-US" w:eastAsia="en-US" w:bidi="ar-SA"/>
        </w:rPr>
        <w:t>over whom he or she has exclusive control and does not explain it away</w:t>
      </w:r>
      <w:r>
        <w:rPr>
          <w:rFonts w:ascii="arial" w:eastAsia="arial" w:hAnsi="arial" w:cs="arial"/>
          <w:color w:val="000000"/>
          <w:sz w:val="20"/>
          <w:lang w:val="en-US" w:eastAsia="en-US" w:bidi="ar-SA"/>
        </w:rPr>
        <w:t>. The inference should only be drawn in circumstances where the evidence of the person who was not called would have been superior to other similar evidence. The failure to call a material witness amounts to an implied admission that the evidence of the absent witness would be contrary to the party's case, or at least would not support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this court summarized the principle in similar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adverse inference may be drawn against a party, if without sufficient explanation, that party fails to call a witness </w:t>
      </w:r>
      <w:r>
        <w:rPr>
          <w:rFonts w:ascii="arial" w:eastAsia="arial" w:hAnsi="arial" w:cs="arial"/>
          <w:color w:val="000000"/>
          <w:sz w:val="20"/>
          <w:u w:val="single"/>
          <w:lang w:val="en-US" w:eastAsia="en-US" w:bidi="ar-SA"/>
        </w:rPr>
        <w:t>who might be expected to provide important supporting evidence</w:t>
      </w:r>
      <w:r>
        <w:rPr>
          <w:rFonts w:ascii="arial" w:eastAsia="arial" w:hAnsi="arial" w:cs="arial"/>
          <w:color w:val="000000"/>
          <w:sz w:val="20"/>
          <w:lang w:val="en-US" w:eastAsia="en-US" w:bidi="ar-SA"/>
        </w:rPr>
        <w:t xml:space="preserve"> if their case was sound: </w:t>
      </w:r>
      <w:r>
        <w:rPr>
          <w:rFonts w:ascii="arial" w:eastAsia="arial" w:hAnsi="arial" w:cs="arial"/>
          <w:i/>
          <w:color w:val="000000"/>
          <w:sz w:val="20"/>
          <w:lang w:val="en-US" w:eastAsia="en-US" w:bidi="ar-SA"/>
        </w:rPr>
        <w:t>Jones v. Trudel</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2000 BCCA 298</w:t>
        </w:r>
      </w:hyperlink>
      <w:r>
        <w:rPr>
          <w:rFonts w:ascii="arial" w:eastAsia="arial" w:hAnsi="arial" w:cs="arial"/>
          <w:color w:val="000000"/>
          <w:sz w:val="20"/>
          <w:lang w:val="en-US" w:eastAsia="en-US" w:bidi="ar-SA"/>
        </w:rPr>
        <w:t xml:space="preserve"> at para. 32. The inference is not to be drawn if the witness is equally available to both parties and unless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established: </w:t>
      </w:r>
      <w:r>
        <w:rPr>
          <w:rFonts w:ascii="arial" w:eastAsia="arial" w:hAnsi="arial" w:cs="arial"/>
          <w:i/>
          <w:color w:val="000000"/>
          <w:sz w:val="20"/>
          <w:lang w:val="en-US" w:eastAsia="en-US" w:bidi="ar-SA"/>
        </w:rPr>
        <w:t>Cranewood Financial v. Norisawa</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xml:space="preserve"> at para. 127; </w:t>
      </w:r>
      <w:r>
        <w:rPr>
          <w:rFonts w:ascii="arial" w:eastAsia="arial" w:hAnsi="arial" w:cs="arial"/>
          <w:i/>
          <w:color w:val="000000"/>
          <w:sz w:val="20"/>
          <w:lang w:val="en-US" w:eastAsia="en-US" w:bidi="ar-SA"/>
        </w:rPr>
        <w:t>Lambert v. Quinn</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(1994) 110 D.L.R. (4th) 284</w:t>
        </w:r>
      </w:hyperlink>
      <w:r>
        <w:rPr>
          <w:rFonts w:ascii="arial" w:eastAsia="arial" w:hAnsi="arial" w:cs="arial"/>
          <w:color w:val="000000"/>
          <w:sz w:val="20"/>
          <w:lang w:val="en-US" w:eastAsia="en-US" w:bidi="ar-SA"/>
        </w:rPr>
        <w:t xml:space="preserve"> (Ont. C.A.) at 287.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argues the defendants' failure to subpoena Mr. Towers on the authenticity of the signatures on the Bills of Sale justifies an adverse inference be drawn against the defendants. Allegedly, Mr. Bains met with Mr. Towers the week prior to trial, but did not serve a subpoena on him. The plaintiff asks that an inference be drawn that Mr. Towers' testimony, if given, would not have supported the defendants' theory of forgery or lack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argue it is incumbent on the plaintiff to show that Gee Force signed the Bills of Sale to complete the transaction and rely on the Lease, and they have not done so. Based on this, they ask an adverse inference be drawn against the plaintiff which has the effect of impeaching Ms. Coombes' testimony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submit that Harbour International, acting alone and without authority, took it upon itself to execute the Bills of Sale on behalf of Gee Force and CIT and then proceeded to obtain insurance on the trucks without consent or knowledge of the defendants. Alternatively, the defendants assert Mr. Towers attempted to forge Mr. Heer's signature although they did not explain what benefit Mr. Towers would have received from his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absence of Mr. Towers' testimony, we have Ms. Coombes' uncontroverted word that Mr. Towers signed the Bills of Sale. In my view, the defendants have not been able to impeach her credibility. This in itself is enough to support a finding that Mr. Towers signed the Bills of Sale, and I do not need to draw an adverse inference with regard to Mr. Towers' proposed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Therefore, I find Ms. Coombes witnessed Mr. Towers sign the Bills of Sale. Whether Mr. Towers had any authority to do so is a separate question and will be addressed next.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Enforceability of the Lease and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response to CIT's claims to enforce the Lease and Guarantee, the defendants argue that the agreements are unenforceable for two reasons. First, that a pre-requisite for the Lease to be enforceable, that Gee Force obtain possession of the trucks through a valid Bill of Sale, never occurred. Second, they argue the Guarantee is a corporate guarantee and hence unenforceable against Mr. Heer as an individual. Third, they argue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applies to Mr. Heer's signature on the Lease and the Guarantee, ultimately preventing both agreements from being enforced against the defendants. I deal with each of these arguments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Bills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have accepted Ms. Coombes' assertion that Mr. Towers signed the Bills of Sale. The defendants' response to this is that Mr. Towers had neither actual nor ostensible authority to sign on behalf of Gee Force. The plaintiff argues the representations made by the defendants suggested Mr. Towers ostensibly had the authority to sign on behalf of Gee Force.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meaning of an agency relationship was recently explored in </w:t>
      </w:r>
      <w:r>
        <w:rPr>
          <w:rFonts w:ascii="arial" w:eastAsia="arial" w:hAnsi="arial" w:cs="arial"/>
          <w:i/>
          <w:color w:val="000000"/>
          <w:sz w:val="20"/>
          <w:lang w:val="en-US" w:eastAsia="en-US" w:bidi="ar-SA"/>
        </w:rPr>
        <w:t>Basyal v. Mac's Convenience Stores Inc.</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2018 BCCA 235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It may be useful to recall how an agency relationship may arise, and the meaning of "actual" and "apparent" agency. F.M.B. Reynolds, the author of </w:t>
      </w:r>
      <w:r>
        <w:rPr>
          <w:rFonts w:ascii="arial" w:eastAsia="arial" w:hAnsi="arial" w:cs="arial"/>
          <w:i/>
          <w:color w:val="000000"/>
          <w:sz w:val="20"/>
          <w:lang w:val="en-US" w:eastAsia="en-US" w:bidi="ar-SA"/>
        </w:rPr>
        <w:t>Bowstead and Reynolds on Agency</w:t>
      </w:r>
      <w:r>
        <w:rPr>
          <w:rFonts w:ascii="arial" w:eastAsia="arial" w:hAnsi="arial" w:cs="arial"/>
          <w:color w:val="000000"/>
          <w:sz w:val="20"/>
          <w:lang w:val="en-US" w:eastAsia="en-US" w:bidi="ar-SA"/>
        </w:rPr>
        <w:t xml:space="preserve"> (17th ed., 2001) states succinctly: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Agency is the fiduciary relationship which exists between two persons, one of whom expressly or impliedly consents that the other should act on his behalf so as to affect his relations with third parties, and the other of whom similarly consents so to act or so 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agent's authority results from a manifestation of consent that he should represent or act for the principal expressly or impliedly made by the principal to the agent himself, the authority is called actual authority, express or implied. But the agent may also have authority resulting from such a manifestation made by the principal to a third party; such authority is called apparent authority. (At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 agency relationship can derive from actual or apparent (ostensible) authority. Further, actual authority can be attributed to an agent by a principal through express or implied conduct. Thus, the principal-agent relationship can manifest in three ways: express agency, implied agency, and ostensible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parties disagree on which form of agency is relevant to the facts at hand. The defendants cite </w:t>
      </w:r>
      <w:r>
        <w:rPr>
          <w:rFonts w:ascii="arial" w:eastAsia="arial" w:hAnsi="arial" w:cs="arial"/>
          <w:i/>
          <w:color w:val="000000"/>
          <w:sz w:val="20"/>
          <w:lang w:val="en-US" w:eastAsia="en-US" w:bidi="ar-SA"/>
        </w:rPr>
        <w:t>Doiron v. Manufacturers Life Insurance Company</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2003 ABCA 336</w:t>
        </w:r>
      </w:hyperlink>
      <w:r>
        <w:rPr>
          <w:rFonts w:ascii="arial" w:eastAsia="arial" w:hAnsi="arial" w:cs="arial"/>
          <w:color w:val="000000"/>
          <w:sz w:val="20"/>
          <w:lang w:val="en-US" w:eastAsia="en-US" w:bidi="ar-SA"/>
        </w:rPr>
        <w:t xml:space="preserve">, an authority on ostensible agency which has been cited favourably by this Court: see </w:t>
      </w:r>
      <w:r>
        <w:rPr>
          <w:rFonts w:ascii="arial" w:eastAsia="arial" w:hAnsi="arial" w:cs="arial"/>
          <w:i/>
          <w:color w:val="000000"/>
          <w:sz w:val="20"/>
          <w:lang w:val="en-US" w:eastAsia="en-US" w:bidi="ar-SA"/>
        </w:rPr>
        <w:t>Le Soleil Hotel &amp; Suites Ltd. v. Le Soleil Management Inc.</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2009 BCSC 1303</w:t>
        </w:r>
      </w:hyperlink>
      <w:r>
        <w:rPr>
          <w:rFonts w:ascii="arial" w:eastAsia="arial" w:hAnsi="arial" w:cs="arial"/>
          <w:color w:val="000000"/>
          <w:sz w:val="20"/>
          <w:lang w:val="en-US" w:eastAsia="en-US" w:bidi="ar-SA"/>
        </w:rPr>
        <w:t xml:space="preserve"> at para. 348; </w:t>
      </w:r>
      <w:r>
        <w:rPr>
          <w:rFonts w:ascii="arial" w:eastAsia="arial" w:hAnsi="arial" w:cs="arial"/>
          <w:i/>
          <w:color w:val="000000"/>
          <w:sz w:val="20"/>
          <w:lang w:val="en-US" w:eastAsia="en-US" w:bidi="ar-SA"/>
        </w:rPr>
        <w:t>Vancouver Canucks Limited Partnership v. Canon Canada Inc.</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2013 BCSC 866</w:t>
        </w:r>
      </w:hyperlink>
      <w:r>
        <w:rPr>
          <w:rFonts w:ascii="arial" w:eastAsia="arial" w:hAnsi="arial" w:cs="arial"/>
          <w:color w:val="000000"/>
          <w:sz w:val="20"/>
          <w:lang w:val="en-US" w:eastAsia="en-US" w:bidi="ar-SA"/>
        </w:rPr>
        <w:t xml:space="preserve"> at para. 156. In </w:t>
      </w:r>
      <w:r>
        <w:rPr>
          <w:rFonts w:ascii="arial" w:eastAsia="arial" w:hAnsi="arial" w:cs="arial"/>
          <w:i/>
          <w:color w:val="000000"/>
          <w:sz w:val="20"/>
          <w:lang w:val="en-US" w:eastAsia="en-US" w:bidi="ar-SA"/>
        </w:rPr>
        <w:t>Doiron</w:t>
      </w:r>
      <w:r>
        <w:rPr>
          <w:rFonts w:ascii="arial" w:eastAsia="arial" w:hAnsi="arial" w:cs="arial"/>
          <w:color w:val="000000"/>
          <w:sz w:val="20"/>
          <w:lang w:val="en-US" w:eastAsia="en-US" w:bidi="ar-SA"/>
        </w:rPr>
        <w:t>, the Alberta Court of Appeal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doctrine of ostensible authority serves to give an agent the authority to bind a principal to agreements made with third parties in circumstances where the agent has no actual authority to do so. The requirements to establish ostensible authority are set out in the leading case of </w:t>
      </w:r>
      <w:r>
        <w:rPr>
          <w:rFonts w:ascii="arial" w:eastAsia="arial" w:hAnsi="arial" w:cs="arial"/>
          <w:i/>
          <w:color w:val="000000"/>
          <w:sz w:val="20"/>
          <w:lang w:val="en-US" w:eastAsia="en-US" w:bidi="ar-SA"/>
        </w:rPr>
        <w:t>Freeman &amp; Lockyer v. Buckhurst Park Properties (Mangal) Ltd.</w:t>
      </w:r>
      <w:r>
        <w:rPr>
          <w:rFonts w:ascii="arial" w:eastAsia="arial" w:hAnsi="arial" w:cs="arial"/>
          <w:color w:val="000000"/>
          <w:sz w:val="20"/>
          <w:lang w:val="en-US" w:eastAsia="en-US" w:bidi="ar-SA"/>
        </w:rPr>
        <w:t>, [1964] 1 All E.R. 630 (C.A.). They are:</w:t>
      </w:r>
    </w:p>
    <w:p>
      <w:pPr>
        <w:numPr>
          <w:numId w:val="3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representation that the agent had authority to enter on behalf of the company into a contract of the kind sought to be enforced was made to the contractor;</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such representation was made by a person or persons who had actual authority to manage the business of the company either generally or in respect of those matters to which the contract relates;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contractor was induced by such representation to enter into the contract (i.e. that he in fact relied upon it);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under its memorandum or articles of association the company was not deprived of the capacity either to enter into a contract of the kind sought to be enforced or to delegate authority to enter into a contract of that kind to the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test for ostensible authority has also been stated by Slade, J., in </w:t>
      </w:r>
      <w:r>
        <w:rPr>
          <w:rFonts w:ascii="arial" w:eastAsia="arial" w:hAnsi="arial" w:cs="arial"/>
          <w:i/>
          <w:color w:val="000000"/>
          <w:sz w:val="20"/>
          <w:lang w:val="en-US" w:eastAsia="en-US" w:bidi="ar-SA"/>
        </w:rPr>
        <w:t>Rama Corp. Ltd. v. Proved Tin &amp; General Investments Ltd.</w:t>
      </w:r>
      <w:r>
        <w:rPr>
          <w:rFonts w:ascii="arial" w:eastAsia="arial" w:hAnsi="arial" w:cs="arial"/>
          <w:color w:val="000000"/>
          <w:sz w:val="20"/>
          <w:lang w:val="en-US" w:eastAsia="en-US" w:bidi="ar-SA"/>
        </w:rPr>
        <w:t>, [1952] 2 Q.B. 147 at pp. 149?50: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"Ostensible or apparent authority which negatives the existence of actual authority is merely a form of estoppel, indeed, it has been termed agency by estoppel, and you cannot call in aid an estoppel unless you have three ingredients: (i) a representation, (ii) a reliance on the representation, and (iii) an alteration of your position resulting from such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On the other hand, the plaintiff cites the law on implied agency. The question to be answered in determining whether implied authority exists "is whether it is reasonable for the party asserting an agency relationship to infer from the conduct of the other party that he or she consented to an agency relationship": </w:t>
      </w:r>
      <w:r>
        <w:rPr>
          <w:rFonts w:ascii="arial" w:eastAsia="arial" w:hAnsi="arial" w:cs="arial"/>
          <w:i/>
          <w:color w:val="000000"/>
          <w:sz w:val="20"/>
          <w:lang w:val="en-US" w:eastAsia="en-US" w:bidi="ar-SA"/>
        </w:rPr>
        <w:t>Siemens v. Howard</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2018 BCCA 197</w:t>
        </w:r>
      </w:hyperlink>
      <w:r>
        <w:rPr>
          <w:rFonts w:ascii="arial" w:eastAsia="arial" w:hAnsi="arial" w:cs="arial"/>
          <w:color w:val="000000"/>
          <w:sz w:val="20"/>
          <w:lang w:val="en-US" w:eastAsia="en-US" w:bidi="ar-SA"/>
        </w:rPr>
        <w:t xml:space="preserve"> at para. 12. This determination is based on the conduct surrounding the relationship that allows for the inference of actual authority, rather than on a representation by the alleged principal which gives rise to an appearance of authority whether or not the authority actually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difference between the legal test for implied agency and ostensible agency is that the former requires conduct from the alleged principal and alleged agent which gives the reasonable impression to a third party that the agency exists. On the other hand, the latter requires specific representations pertaining to the agency, made to a contracting party. The facts alleged by the defendant in supporting their argument on the existence of an agency between CIT and Harbour International, discussed later in the judgment, do not suggest there were any representations by CIT or Harbour to establish apparent authority. The lack of such representations precludes an argument based on express agency or apparent agency. Instead, the defendant relies on the circumstances surrounding the relationship and the behaviour of the parties that led to the transaction, which may only support a claim of implied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applying the law of agency to Mr. Towers, the defendants argue Mr. Towers had neither actual nor ostensible authority to sign on behalf of Gee Force. No conduct or representations to this effect had been evinced by Mr. Heer or Mr. Bains to Harbour International. As a result, even if Mr. Towers signed the Bills of Sale, he did not have the authority to do so and the Bills of Sale were never properly executed. However, based on Mr. Bains' testimony, the defendants concede that Milad Towers was intended to be the future General Manager for Gee Force if the company was able to acquire the five trucks and be successful, and if Mr. Towers was able to learn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Conversely, the plaintiff argues Mr. Towers had ostensible authority to sign on behalf of Gee Force. He had been introduced as a Gee Force employee by Mr. Bains and drove Mr. Heer to the March meeting. They emphasize Mr. Bains' testimony that Mr. Towers was poised to be general manager. Additionally, they rely on Mr. Lakhesar's testimony that he corresponded with Mr. Towers multiple times through email and phone regarding the transaction, and that Mr. Towers was introduced to him as Mr. Heer's son-in-law on the day of the March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clear Mr. Towers did not have actual signing authority for Gee Force. This authority was held exclusively by Mr. Heer. However, I find the plaintiff's argument regarding the defendants' conduct to be persuasive. It was reasonable for CIT to infer from the conduct of Mr. Towers and Mr. Bains that he consented to an agency relationship. Therefore, I find Mr. Towers had ostensible authority to sign for Gee Force, and he executed this authority by signing the Bills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defendants argue the plaintiff must show that Gee Force signed the Bills of Sale to complete the transaction. The defendants argue the triggering event for CIT Financial to provide funding was the transfer of the trucks to CIT and Gee Force. Due to the issues with the Bills of Sale, the Lease was ineffective and CIT was not expected to fund the transaction. As a result, the defendants argue CIT has a cause of action against Harbour International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plaintiffs respond that CIT's claim does not rest on the Bill of Sale, which is a title document, but on the Lease. The Lease does not provide for title in the trucks to pass to Gee Force. Title would only pass to Gee Force after the 48 months of Lease payments were made to CIT. The Lease was in default after the first month, so title was not eligible to pass to the defendants. Lastly, the plaintiff argues despite the lack of physical possession, Gee Force had legal possession of the trucks. Gee Force had the right to use the trucks and take them from Harbour International's premises contingent on Gee Force obtaining the appropriate insurance. This is sufficient to grant legal possession: </w:t>
      </w:r>
      <w:r>
        <w:rPr>
          <w:rFonts w:ascii="arial" w:eastAsia="arial" w:hAnsi="arial" w:cs="arial"/>
          <w:i/>
          <w:color w:val="000000"/>
          <w:sz w:val="20"/>
          <w:lang w:val="en-US" w:eastAsia="en-US" w:bidi="ar-SA"/>
        </w:rPr>
        <w:t>Personal Property</w:t>
      </w:r>
      <w:r>
        <w:rPr>
          <w:rFonts w:ascii="arial" w:eastAsia="arial" w:hAnsi="arial" w:cs="arial"/>
          <w:color w:val="000000"/>
          <w:sz w:val="20"/>
          <w:lang w:val="en-US" w:eastAsia="en-US" w:bidi="ar-SA"/>
        </w:rPr>
        <w:t>, Third Edition, J. Crossley Vaines (London, UK: Butterworths, 1962) at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Given I have found the Bills of Sale were properly executed, through Mr. Towers' ostensible authority to do so, it is not necessary for me to rule on the legal effect of the failure to execute the Bills of 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Enforceability of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defendants argue that interpreting the Guarantee as an individual guarantee would lead to an ineffective contractual provision, therefore this interpretation must be rejected: </w:t>
      </w:r>
      <w:r>
        <w:rPr>
          <w:rFonts w:ascii="arial" w:eastAsia="arial" w:hAnsi="arial" w:cs="arial"/>
          <w:i/>
          <w:color w:val="000000"/>
          <w:sz w:val="20"/>
          <w:lang w:val="en-US" w:eastAsia="en-US" w:bidi="ar-SA"/>
        </w:rPr>
        <w:t>Athwal v. Black Top Cabs Ltd.</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2012 BCCA 107</w:t>
        </w:r>
      </w:hyperlink>
      <w:r>
        <w:rPr>
          <w:rFonts w:ascii="arial" w:eastAsia="arial" w:hAnsi="arial" w:cs="arial"/>
          <w:color w:val="000000"/>
          <w:sz w:val="20"/>
          <w:lang w:val="en-US" w:eastAsia="en-US" w:bidi="ar-SA"/>
        </w:rPr>
        <w:t xml:space="preserve"> at para. 42. In support, they cite the positioning of Mr. Heer's signature on the Guarantee, in addition to a clause in the Guarantee which compels the Guarantor to furnish financial statements annually based on generally accepted accounting principles. I find it difficult to conclude from a clause mentioning annual financial statements that a Guarantee must either be corporate or completely unenforceable. The signature being in the wrong position seems nothing more than a slip. I do not find this slip to be of any particular moment, or on its own, to interfere with the legal effect of the Guarantee.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 Est Factum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Alternatively, the defendants seek to rely on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for Gee Force to avoid liability under the Lease and for Mr. Heer to avoid personal liability under the Guarantee. It is not in dispute that Mr. Heer signed both the Lease and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law on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starts with the assumption that an individual signing a written agreement is presumed to know its contents (</w:t>
      </w:r>
      <w:r>
        <w:rPr>
          <w:rFonts w:ascii="arial" w:eastAsia="arial" w:hAnsi="arial" w:cs="arial"/>
          <w:i/>
          <w:color w:val="000000"/>
          <w:sz w:val="20"/>
          <w:lang w:val="en-US" w:eastAsia="en-US" w:bidi="ar-SA"/>
        </w:rPr>
        <w:t>Karroll v. Silver Star Mountain Resorts</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33 B.C.L.R. (2d) 160</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must begin from the proposition set out in </w:t>
      </w:r>
      <w:r>
        <w:rPr>
          <w:rFonts w:ascii="arial" w:eastAsia="arial" w:hAnsi="arial" w:cs="arial"/>
          <w:i/>
          <w:color w:val="000000"/>
          <w:sz w:val="20"/>
          <w:lang w:val="en-US" w:eastAsia="en-US" w:bidi="ar-SA"/>
        </w:rPr>
        <w:t>L'Estrange v. F. Graucob</w:t>
      </w:r>
      <w:r>
        <w:rPr>
          <w:rFonts w:ascii="arial" w:eastAsia="arial" w:hAnsi="arial" w:cs="arial"/>
          <w:color w:val="000000"/>
          <w:sz w:val="20"/>
          <w:lang w:val="en-US" w:eastAsia="en-US" w:bidi="ar-SA"/>
        </w:rPr>
        <w:t xml:space="preserve"> [citation omitted] that "where a party has signed a written agreement it is immaterial to the question of his liability under it that he has not read it and does not know its contents". Maugham L.J. went on to state two exceptions to this rule. The first is where the document is signed by the plaintiff "in circumstances which made it not her act" (non est factum). The second is where the agreement has been induced by fraud or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Farrell Estates Ltd. v. Win-Up Restaurant Ltd.</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2010 BCSC 1752</w:t>
        </w:r>
      </w:hyperlink>
      <w:r>
        <w:rPr>
          <w:rFonts w:ascii="arial" w:eastAsia="arial" w:hAnsi="arial" w:cs="arial"/>
          <w:color w:val="000000"/>
          <w:sz w:val="20"/>
          <w:lang w:val="en-US" w:eastAsia="en-US" w:bidi="ar-SA"/>
        </w:rPr>
        <w:t xml:space="preserve">, Madam Justice Dardi summarized the principles governing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citing the leading case of </w:t>
      </w:r>
      <w:r>
        <w:rPr>
          <w:rFonts w:ascii="arial" w:eastAsia="arial" w:hAnsi="arial" w:cs="arial"/>
          <w:i/>
          <w:color w:val="000000"/>
          <w:sz w:val="20"/>
          <w:lang w:val="en-US" w:eastAsia="en-US" w:bidi="ar-SA"/>
        </w:rPr>
        <w:t>Marvco Color Research Ltd. v. Harris</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[1982] 2 S.C.R. 774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The principles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as formulated in the weight of the authorities, can be summarized as follows:</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proving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rests with the party seeking to disown their signature. For a person of full capacity the application of the doctrine must be kept within narrowly prescribed limits.</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seeks to invoke the remedy must show that the document signed is fundamentally different from what the person believed he or she was signing.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person shows such a fundamental difference, the court must examine whether the signer was careless in failing to take reasonable precautions in the execution of the document. The court must also consider the conduct of the party relying on the document and whether they qualify as an innocent party, in order to determine which party, by application of reasonable care, was in the better position to avoid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authorities also establish that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may be raised as a defence notwithstanding a lack of agency between the party relying on the document and the person who made the alleged misrepresentation concerning the document: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J.R. Watkins Company v. Hannah</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[1926] 2 W.W.R. 800</w:t>
        </w:r>
      </w:hyperlink>
      <w:r>
        <w:rPr>
          <w:rFonts w:ascii="arial" w:eastAsia="arial" w:hAnsi="arial" w:cs="arial"/>
          <w:color w:val="000000"/>
          <w:sz w:val="20"/>
          <w:lang w:val="en-US" w:eastAsia="en-US" w:bidi="ar-SA"/>
        </w:rPr>
        <w:t xml:space="preserve"> (Sask.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addition, the defendants rely on </w:t>
      </w:r>
      <w:r>
        <w:rPr>
          <w:rFonts w:ascii="arial" w:eastAsia="arial" w:hAnsi="arial" w:cs="arial"/>
          <w:i/>
          <w:color w:val="000000"/>
          <w:sz w:val="20"/>
          <w:lang w:val="en-US" w:eastAsia="en-US" w:bidi="ar-SA"/>
        </w:rPr>
        <w:t>Farrell Estates</w:t>
      </w:r>
      <w:r>
        <w:rPr>
          <w:rFonts w:ascii="arial" w:eastAsia="arial" w:hAnsi="arial" w:cs="arial"/>
          <w:color w:val="000000"/>
          <w:sz w:val="20"/>
          <w:lang w:val="en-US" w:eastAsia="en-US" w:bidi="ar-SA"/>
        </w:rPr>
        <w:t xml:space="preserve"> at paras. 130, 139 for the proposition that the personal characteristics of the signing party, including the party's ability to communicate in English, and whether the party received independent legal advice, are relevant factors in a determination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Therefore, the defendant bears the burden to convince this Court the Lease and Guarantee signed by Mr. Heer were fundamentally different from the one he believed he was signing. As Mr. Heer is an individual with full capacity, the doctrine should be applied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fundamental difference relied on by the defendants with respect to the Lease is that Gee Force and Royal City understood the Lease to cover a simple transaction in which Gee Force would take over as the owner of the five trucks from Royal City so that it could operate the trucks locally rather than on long haul routes as they had been under Royal City. Additionally, the defendants argue they understood the transaction as maintaining the 2011 financiers of the trucks rather than having them re-financed through CIT. In support of these assertions, the defendants rely on the fact that prior to the March meeting, Ms. Coombes did not communicate to Mr. Bains, Mr. Heer or to Gee Force the terms of the Lease and the documents prepared by 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fundamental difference relied on by the defendants with respect to the Guarantee is that Mr. Heer did not understand that he was signing a personal guarantee. All Mr. Heer allegedly understood was that he was to sign some documents about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response, the plaintiff argues that since Mr. Heer had been asked for his personal financial statement by CIT, he should have anticipated that the Guarantee was personal rather than corporate.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also argues that as a proprietor of a trucking company, Mr. Bains had past experience in such transactions and should therefore have known about the true nature of the Lease and Guarantee. It is difficult to see how Mr. Bains' past experience can be attributed to Mr. Heer's perception of what the Guarantee means, but as someone who was the operating mind of Gee Force, this argument certainly favours the plaintiff's assertion that the nature of the transaction was known to Mr.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defendants argue Mr. Heer's illiteracy, language barriers, and inability to rely on independent legal advice are personal characteristics relevant to the application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They rely on the facts of </w:t>
      </w:r>
      <w:r>
        <w:rPr>
          <w:rFonts w:ascii="arial" w:eastAsia="arial" w:hAnsi="arial" w:cs="arial"/>
          <w:i/>
          <w:color w:val="000000"/>
          <w:sz w:val="20"/>
          <w:lang w:val="en-US" w:eastAsia="en-US" w:bidi="ar-SA"/>
        </w:rPr>
        <w:t>Farrell Estates</w:t>
      </w:r>
      <w:r>
        <w:rPr>
          <w:rFonts w:ascii="arial" w:eastAsia="arial" w:hAnsi="arial" w:cs="arial"/>
          <w:color w:val="000000"/>
          <w:sz w:val="20"/>
          <w:lang w:val="en-US" w:eastAsia="en-US" w:bidi="ar-SA"/>
        </w:rPr>
        <w:t xml:space="preserve">, in which a signing party to a lease, Mrs. Su-Chen Wu Yang, successfully invoked the doctrine to invalidate personal liability under a commercial lease with the plaintiff Farrell Estates. Like Mr. Heer, Mrs. Yang was an immigrant, unable to read or write much English beyond being able to sign her name, and was not knowledgeable in sophisticated commercial matters. The key difference is that upon learning she would become personally liable in the matter, Mrs. Yang expressed to third parties who brought her into the transaction and the plaintiffs in the matter that she did not want to be personally liable. Despite her protestations, the plaintiff wished to hold her personally liable. Justice Dardi discussed the application of the third prong of the test from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to these facts at para.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unique factual matrix of this case renders the analysis in the authorities relied upon by Farrell inapplicable. In my view, justice requires that in this case Farrell bear the loss, because it was Farrell who by application of reasonable care was in the better position to avoid the loss. In the result, this is one of those exceptional circumstances in which the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therefore succeeds.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defendants' argument that all Mr. Heer knew about the transaction was that he would have to sign certain documents regarding trucks does not help them. Accepting an argument this broad on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would be problematic because it would allow Mr. Heer to avoid any contractual obligation due to his language barrier. Mr. Heer understands the significance of contractual obligations. Indeed, the only words he could write in English were his signature, which indicates he knew the significance of his signature. He knew the documents he was signing were part of a commercial transaction involving trucks. His personal credit application had been sent to CIT through Harbour International, and Mr. Lakhesar testified specifically about explaining the personal nature of the Guarantee to Mr. Heer. In addition, there was no pressure on Mr. Heer to sign the documents at the March meeting. He could have asked to bring the documents to Mr. Bains or Mr. Towers and asked for their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these circumstances, under the third prong of the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test, it fell to Mr. Heer to take reasonable care to ensure the documents he was signing were not fundamentally different from what he had been led to believe. Unlike Mrs. Yang in </w:t>
      </w:r>
      <w:r>
        <w:rPr>
          <w:rFonts w:ascii="arial" w:eastAsia="arial" w:hAnsi="arial" w:cs="arial"/>
          <w:i/>
          <w:color w:val="000000"/>
          <w:sz w:val="20"/>
          <w:lang w:val="en-US" w:eastAsia="en-US" w:bidi="ar-SA"/>
        </w:rPr>
        <w:t>Farrell Estates</w:t>
      </w:r>
      <w:r>
        <w:rPr>
          <w:rFonts w:ascii="arial" w:eastAsia="arial" w:hAnsi="arial" w:cs="arial"/>
          <w:color w:val="000000"/>
          <w:sz w:val="20"/>
          <w:lang w:val="en-US" w:eastAsia="en-US" w:bidi="ar-SA"/>
        </w:rPr>
        <w:t>, he did not make any protestations to this effect, and is liable due to the personal nature of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elements for the tort of fraudulent representation were discussed by Justice Armstrong in </w:t>
      </w:r>
      <w:r>
        <w:rPr>
          <w:rFonts w:ascii="arial" w:eastAsia="arial" w:hAnsi="arial" w:cs="arial"/>
          <w:i/>
          <w:color w:val="000000"/>
          <w:sz w:val="20"/>
          <w:lang w:val="en-US" w:eastAsia="en-US" w:bidi="ar-SA"/>
        </w:rPr>
        <w:t>Neidermayer v. Gillies</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2012 BCSC 143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In </w:t>
      </w:r>
      <w:r>
        <w:rPr>
          <w:rFonts w:ascii="arial" w:eastAsia="arial" w:hAnsi="arial" w:cs="arial"/>
          <w:i/>
          <w:color w:val="000000"/>
          <w:sz w:val="20"/>
          <w:lang w:val="en-US" w:eastAsia="en-US" w:bidi="ar-SA"/>
        </w:rPr>
        <w:t>Catalyst Pulp &amp; Paper Sales Inc. v. Universal Paper Export Co.</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xml:space="preserve"> (B.C. C.A.), Bauman J.A., as he then was, outlined the requirements to establish fraudulent misrepresentation inducing a contract. At para. 55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Counsel for UPE cited G.H.L. Fridman, </w:t>
      </w:r>
      <w:r>
        <w:rPr>
          <w:rFonts w:ascii="arial" w:eastAsia="arial" w:hAnsi="arial" w:cs="arial"/>
          <w:i/>
          <w:color w:val="000000"/>
          <w:sz w:val="20"/>
          <w:lang w:val="en-US" w:eastAsia="en-US" w:bidi="ar-SA"/>
        </w:rPr>
        <w:t>Law of Contract in Canada</w:t>
      </w:r>
      <w:r>
        <w:rPr>
          <w:rFonts w:ascii="arial" w:eastAsia="arial" w:hAnsi="arial" w:cs="arial"/>
          <w:color w:val="000000"/>
          <w:sz w:val="20"/>
          <w:lang w:val="en-US" w:eastAsia="en-US" w:bidi="ar-SA"/>
        </w:rPr>
        <w:t>, 4th ed. (Scarborough: Carswell, 1999) at 309-310, where the learned author described a case of fraudulent misrepresentation as consisting of four elements: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 and</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by the representation to enter into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w:t>
      </w:r>
      <w:r>
        <w:rPr>
          <w:rFonts w:ascii="arial" w:eastAsia="arial" w:hAnsi="arial" w:cs="arial"/>
          <w:i/>
          <w:color w:val="000000"/>
          <w:sz w:val="20"/>
          <w:lang w:val="en-US" w:eastAsia="en-US" w:bidi="ar-SA"/>
        </w:rPr>
        <w:t>Islip v. Coldmatic Refrigeration of Canada Ltd.</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2002 BCCA 255</w:t>
        </w:r>
      </w:hyperlink>
      <w:r>
        <w:rPr>
          <w:rFonts w:ascii="arial" w:eastAsia="arial" w:hAnsi="arial" w:cs="arial"/>
          <w:color w:val="000000"/>
          <w:sz w:val="20"/>
          <w:lang w:val="en-US" w:eastAsia="en-US" w:bidi="ar-SA"/>
        </w:rPr>
        <w:t xml:space="preserve"> (B.C. C.A.) adds the requirement that the misrepresentor must have intended that the victim act on the representation at para. 11. Some subsequent cases do not explicitly list this requirement (see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xml:space="preserve"> (B.C. S.C. [In Chambers])) while others do (see </w:t>
      </w:r>
      <w:r>
        <w:rPr>
          <w:rFonts w:ascii="arial" w:eastAsia="arial" w:hAnsi="arial" w:cs="arial"/>
          <w:i/>
          <w:color w:val="000000"/>
          <w:sz w:val="20"/>
          <w:lang w:val="en-US" w:eastAsia="en-US" w:bidi="ar-SA"/>
        </w:rPr>
        <w:t>Battrum v. MacKenzie Estate</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2010 BCSC 1285</w:t>
        </w:r>
      </w:hyperlink>
      <w:r>
        <w:rPr>
          <w:rFonts w:ascii="arial" w:eastAsia="arial" w:hAnsi="arial" w:cs="arial"/>
          <w:color w:val="000000"/>
          <w:sz w:val="20"/>
          <w:lang w:val="en-US" w:eastAsia="en-US" w:bidi="ar-SA"/>
        </w:rPr>
        <w:t xml:space="preserve"> (B.C. S.C.) at para.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It is well accepted that half-truths, while true in themselves but incomplete, can constitute legally significant misrepresentations: </w:t>
      </w:r>
      <w:r>
        <w:rPr>
          <w:rFonts w:ascii="arial" w:eastAsia="arial" w:hAnsi="arial" w:cs="arial"/>
          <w:i/>
          <w:color w:val="000000"/>
          <w:sz w:val="20"/>
          <w:lang w:val="en-US" w:eastAsia="en-US" w:bidi="ar-SA"/>
        </w:rPr>
        <w:t>Battrum</w:t>
      </w:r>
      <w:r>
        <w:rPr>
          <w:rFonts w:ascii="arial" w:eastAsia="arial" w:hAnsi="arial" w:cs="arial"/>
          <w:color w:val="000000"/>
          <w:sz w:val="20"/>
          <w:lang w:val="en-US" w:eastAsia="en-US" w:bidi="ar-SA"/>
        </w:rPr>
        <w:t xml:space="preserve"> at para.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Unlike negligent misrepresentation, an action for fraudulent misrepresentation will not be precluded where the plaintiff failed to exercise due diligence (</w:t>
      </w:r>
      <w:r>
        <w:rPr>
          <w:rFonts w:ascii="arial" w:eastAsia="arial" w:hAnsi="arial" w:cs="arial"/>
          <w:i/>
          <w:color w:val="000000"/>
          <w:sz w:val="20"/>
          <w:lang w:val="en-US" w:eastAsia="en-US" w:bidi="ar-SA"/>
        </w:rPr>
        <w:t>RC Hotel Ventures Ltd</w:t>
      </w:r>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assert CIT and Harbour International agreed to a common action to secure a change in the financier for the two trucks. In furtherance of this common action, Harbour International committed torts of misrepresentation and deceit. The alleged false representations were that Harbour International would repair all five trucks, the financiers from the 2011 transaction would be maintained, and Royal City's extended warranties from 2011 would continue with Gee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make two arguments about the liability of CIT based on fraudulent misrepresentation. First, they assert that Harbour International acted as an agent of CIT in this transaction. As its principal, CIT would thus be held liable for Harbour International's actions. Alternatively, the defendants argue that Harbour International and CIT were joint tortfeasors. The alternative argument asserts that as a joint tortfeasor, CIT is liable for torts committed by Harbour International. As the plaintiff notes, neither argument asserts that the actions of CIT itself are sufficient to fulfil the elements of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a result, the conduct of Harbour International and CIT should be assessed to determine whether it would have been reasonable for the defendants to infer that CIT consented to Harbour International being CIT's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argue the conduct of Harbour International and CIT can be reasonably interpreted as giving rise to an agency relationship. They rely on the following facts to support their position. CIT did not contact Royal City or Gee Force at any time to negotiate the terms of financing. CIT relied on Harbour International to receive all information from Royal City and Gee Force, in particular information and documents regarding the financing of the trucks. CIT prepared the documents and sent them to Harbour International for review and signature. The March meeting took place at a Harbour International office. Harbour International accepted all funds in the transaction from Gee Force and from CIT. CIT paid a handling fee to Harbour International in relation 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responds that nothing in the conduct of Harbour International or CIT implied CIT's consent to Harbour International acting as its agent. The plaintiff argues the mere fact that Mr. Cassels was present at the March meeting negates a reasonable inference of agency because his presence would not be required if an agency relationship existed and Harbour International could execute the documents on behalf of 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other conduct relied on by the plaintiff is as follows. Mr. Bains did not know of CIT's involvement until he reviewed the demand letter following Gee Force's default. The only involvement of CIT with any representative of Gee Force was the inclusion of Mr. Cassels at the March meeting where Mr. Heer signed the lease documentation. Furthermore, Mr. Cassels introduced himself to Mr. Heer as a representative of CIT and explained the company's role as a financier, distinguishing CIT from Harbour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Furthermore, the plaintiff argues clause 10 of the Lease explicitly refers to CIT's role as a mere financier, thereby denying any implication of agency:</w:t>
      </w:r>
      <w:r>
        <w:rPr>
          <w:rFonts w:ascii="arial" w:eastAsia="arial" w:hAnsi="arial" w:cs="arial"/>
          <w:sz w:val="20"/>
          <w:lang w:val="en-US" w:eastAsia="en-US" w:bidi="ar-SA"/>
        </w:rPr>
        <w:cr/>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Exclusion of Equipment Warranties. Lessee acknowledges that Lessee alone will have selected the Equipment, that Lessor does not deal in the Equipment and that Lessor does not and will not make any representation or warranty whatsoever, express or implied, with respect to the Equipment or its adequacy for Lessee's purpose or otherwise. Lessor will have no liability whatsoever (including, without limitation, liability for any indirect or consequential damages) arising from any latent or other defect in the Equipment including any fundamental breach, or other failure of performance, capacity, or operation of the Equipment. If any Equipment is unsatisfactory for any reason, Lessee shall pay the Rental owing in respect of such Equipment without abatement, and shall seek recourse solely against the supplier or manufacturer of such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Lastly, the plaintiff relies on the express release contained in the Delivery and Acceptance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prejudice to the rights, if any, that the undersigned may have against manufacturers, suppliers or others, the undersigned hereby releases and discharges CIT from any and all actions, causes of action, claims, demands, rights, defenses, setoffs, abatements and compensation now or hereafter arising out of or in relation to the Equipment, including, without limitation, any latent defect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2011 BCSC 1574</w:t>
        </w:r>
      </w:hyperlink>
      <w:r>
        <w:rPr>
          <w:rFonts w:ascii="arial" w:eastAsia="arial" w:hAnsi="arial" w:cs="arial"/>
          <w:color w:val="000000"/>
          <w:sz w:val="20"/>
          <w:lang w:val="en-US" w:eastAsia="en-US" w:bidi="ar-SA"/>
        </w:rPr>
        <w:t>, I considered the enforceability of an exclusion clause in the context of the relationship between dealers and equipment financiers. At para. 65, I reasoned: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financier should not be required to give special notice that its role is limited to financing and that it cannot be sued for issues relating to the allegedly defective manufacture or condition of the vehicle. Furthermore, the covenant not to sue in this case is neither onerous nor stringent. The plaintiffs are not excluded from suing entirely. They are still entitled to sue VFS for matters relating to financing. As this ability to sue relates to the true nature of the relationship between the parties, the plaintiffs have not really suffered a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am of the opinion that the reasoning in </w:t>
      </w:r>
      <w:r>
        <w:rPr>
          <w:rFonts w:ascii="arial" w:eastAsia="arial" w:hAnsi="arial" w:cs="arial"/>
          <w:i/>
          <w:color w:val="000000"/>
          <w:sz w:val="20"/>
          <w:lang w:val="en-US" w:eastAsia="en-US" w:bidi="ar-SA"/>
        </w:rPr>
        <w:t>Hans v. Volvo</w:t>
      </w:r>
      <w:r>
        <w:rPr>
          <w:rFonts w:ascii="arial" w:eastAsia="arial" w:hAnsi="arial" w:cs="arial"/>
          <w:color w:val="000000"/>
          <w:sz w:val="20"/>
          <w:lang w:val="en-US" w:eastAsia="en-US" w:bidi="ar-SA"/>
        </w:rPr>
        <w:t xml:space="preserve"> is dispositive of this issue. It is apparent to me that the defendants' primary action is against the dealer of the trucks, Harbour International, much like the plaintiffs in </w:t>
      </w:r>
      <w:r>
        <w:rPr>
          <w:rFonts w:ascii="arial" w:eastAsia="arial" w:hAnsi="arial" w:cs="arial"/>
          <w:i/>
          <w:color w:val="000000"/>
          <w:sz w:val="20"/>
          <w:lang w:val="en-US" w:eastAsia="en-US" w:bidi="ar-SA"/>
        </w:rPr>
        <w:t>Hans v. Volvo</w:t>
      </w:r>
      <w:r>
        <w:rPr>
          <w:rFonts w:ascii="arial" w:eastAsia="arial" w:hAnsi="arial" w:cs="arial"/>
          <w:color w:val="000000"/>
          <w:sz w:val="20"/>
          <w:lang w:val="en-US" w:eastAsia="en-US" w:bidi="ar-SA"/>
        </w:rPr>
        <w:t xml:space="preserve"> who were successful in their action against the manufacturer of the trucks. An agency argument of the sort the defendants here rely on is not based on a reasonable interpretation of the commercial relationship between the parties, in which CIT was merely a financier. CIT is protected by the terms of the Lease and Delivery and Acceptance Document and cannot be found liable for representations that may have been made by Harbour International to Mr. Bains and Gee Force.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Joint tortfeasors are those "who act in 'concert' to further a wrongful act ... and deceitful conduct engaged in by one can be ascribed to another": </w:t>
      </w:r>
      <w:r>
        <w:rPr>
          <w:rFonts w:ascii="arial" w:eastAsia="arial" w:hAnsi="arial" w:cs="arial"/>
          <w:i/>
          <w:color w:val="000000"/>
          <w:sz w:val="20"/>
          <w:lang w:val="en-US" w:eastAsia="en-US" w:bidi="ar-SA"/>
        </w:rPr>
        <w:t>Cruise Connections Canada v. Szeto</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2015 BCCA 363</w:t>
        </w:r>
      </w:hyperlink>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alleges the common action linking CIT to Harbour International was to secure a change in the lessor for the CIT Trucks from GE Financial to CIT. Further, the defendant claims since Harbour International committed fraudulent misrepresentation and deceit, CIT is liable as a joint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common action referred to by the defendant is a completely legitimate commercial transaction based on transparent contracts with legitimate business interests of each party being served. This cannot form the basis of a joint tortfeasorship for fraudulent misrepresentation, and therefore CIT is not a joint tortfeasor to any misrepresentations made by Harbour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Since CIT is neither a principal of Harbour International nor a joint tortfeasor, there is no basis to find CIT liable for the tort of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parties agree that the elements of the tort of civil conspiracy are as set out in </w:t>
      </w:r>
      <w:r>
        <w:rPr>
          <w:rFonts w:ascii="arial" w:eastAsia="arial" w:hAnsi="arial" w:cs="arial"/>
          <w:i/>
          <w:color w:val="000000"/>
          <w:sz w:val="20"/>
          <w:lang w:val="en-US" w:eastAsia="en-US" w:bidi="ar-SA"/>
        </w:rPr>
        <w:t>Can-Dive Service Ltd. v. Pacific Coast Energy Corp</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(1993), 96 B.C.L.R. (2d) 156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between two or more persons;</w:t>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concerted action taken pursuant to the agreement;</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if the action is lawful, there must be evidence that the conspirators intended to cause damage to the plaintiff;</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unlawful, there must at least be evidence that the conspirators knew or ought to have known that their action would injure the plaintiff (i.e., constructive intent);</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There is a helpful discussion on the relationship between joint tortfeasors, fraudulent misrepresentation, and civil conspiracy in </w:t>
      </w:r>
      <w:r>
        <w:rPr>
          <w:rFonts w:ascii="arial" w:eastAsia="arial" w:hAnsi="arial" w:cs="arial"/>
          <w:i/>
          <w:color w:val="000000"/>
          <w:sz w:val="20"/>
          <w:lang w:val="en-US" w:eastAsia="en-US" w:bidi="ar-SA"/>
        </w:rPr>
        <w:t>XY, LLC v. Zhu</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2013 BCCA 352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Obviously, the trial judge's finding that the Personal Defendants were joint tortfeasors with JingJing would fall if deceit on JingJing's part were not proven. ... If this is correct it would be unnecessary to consider the tort of civil conspiracy, which would "add nothing" and could be struck out or "merged". (See </w:t>
      </w:r>
      <w:r>
        <w:rPr>
          <w:rFonts w:ascii="arial" w:eastAsia="arial" w:hAnsi="arial" w:cs="arial"/>
          <w:i/>
          <w:color w:val="000000"/>
          <w:sz w:val="20"/>
          <w:lang w:val="en-US" w:eastAsia="en-US" w:bidi="ar-SA"/>
        </w:rPr>
        <w:t>Bank of Montreal v. Tortora</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2010 BCCA 139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 Soleil Hospitality Inc. v. Louie</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2011 BCCA 305</w:t>
        </w:r>
      </w:hyperlink>
      <w:r>
        <w:rPr>
          <w:rFonts w:ascii="arial" w:eastAsia="arial" w:hAnsi="arial" w:cs="arial"/>
          <w:color w:val="000000"/>
          <w:sz w:val="20"/>
          <w:lang w:val="en-US" w:eastAsia="en-US" w:bidi="ar-SA"/>
        </w:rPr>
        <w:t xml:space="preserve">.) In any event, there is very little difference apparent between being a joint tortfeasor in the sense of participating in a "concerted action between [the tortfeasors] to a common end" (see Glanville Williams,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(1951) at 1), and being a civil co-conspirator.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Therefore, my finding above that there was no concerted action to justify a finding that CIT and Harbour International are joint tortfeasors applies here and the elements of the tort of civil conspiracy are not met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defendants' counterclaims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CIT is granted judgment under its Lease and Guarantee against Gee Force and Kulwinder Heer jointly and severally.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Judgment is granted to CIT for the balance owing after the sale of the trucks in the amount of $170,313.44.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will hear the parties on the issue of whether the contractual rate of interest on the judgment should be paid by the defendants or whether the court should confine the interest amount to that charged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R.S.B.C. 1996, c. 79, s.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Costs follow the event and CIT will have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CIT relies on its Lease at para. 12(b) and its Guarantee at paras. 2 and 5(e) to claim special costs on a solicitor and client basis or, in the alternative, claims special costs arising from the nature of the defendants' counterclaim in fraud and 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 wording of CIT's Lease and the Guarantee make clear that the consequences of default include CIT's right to recover special costs on a solicitor and client basis (</w:t>
      </w:r>
      <w:r>
        <w:rPr>
          <w:rFonts w:ascii="arial" w:eastAsia="arial" w:hAnsi="arial" w:cs="arial"/>
          <w:i/>
          <w:color w:val="000000"/>
          <w:sz w:val="20"/>
          <w:lang w:val="en-US" w:eastAsia="en-US" w:bidi="ar-SA"/>
        </w:rPr>
        <w:t>Wanson (Bristol) Development v. Sahba</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2017 BCSC 2140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Epoch Press Inc. v. Sewak</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2011 BCSC 323</w:t>
        </w:r>
      </w:hyperlink>
      <w:r>
        <w:rPr>
          <w:rFonts w:ascii="arial" w:eastAsia="arial" w:hAnsi="arial" w:cs="arial"/>
          <w:color w:val="000000"/>
          <w:sz w:val="20"/>
          <w:lang w:val="en-US" w:eastAsia="en-US" w:bidi="ar-SA"/>
        </w:rPr>
        <w:t>). I therefore award special costs to CIT on a solicitor and client basis with such costs to be assessed by a reference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Erickson v. Saifi, [2019] B.C.J. No. 1285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W.A.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M155928, M155929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2019 BCSC 1120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Anna Erickson, Plaintiff, and Ajmal Saifi and Diana Saifi, Defendants And between Mary Anna Erickson, Plaintiff, and John Doe and/or Jane Doe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6" w:name="Keywords_38"/>
      <w:bookmarkEnd w:id="246"/>
      <w:r>
        <w:rPr>
          <w:rFonts w:ascii="arial" w:eastAsia="arial" w:hAnsi="arial" w:cs="arial"/>
          <w:b/>
          <w:color w:val="000000"/>
          <w:sz w:val="20"/>
          <w:lang w:val="en-US" w:eastAsia="en-US" w:bidi="ar-SA"/>
        </w:rPr>
        <w:t>Damages — Physical and psychological injuries — Physical injuries — Body injuries — Back and spine — Neck — Head injuries — Headaches — Fibromyalgia or chronic pain — Psychological injuries — Personality change — Considerations impacting on award — Degree of impairment — Permanent total or partial disability — Age of claimant — Determination of damages for injuries arising from motor vehicle accidents — Plaintiff was 49 at time of first accident — Her injuries were very serious and had devastating impact on her life — She had chronic migraines, daily pain in her low back and neck, ongoing debilitating pain from frequent SUNCT headaches and significant mental injury, changing her personality and relationships — She could not do many things that brought her pleasure — She was unlikely to work again.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Non-pecuniary loss — Determination of damages for injuries arising from motor vehicle accidents — Plaintiff was 49 at time of first accident — Her injuries were very serious and had devastating impact on her life — She had chronic migraines, daily pain in her low back and neck, ongoing debilitating pain from frequent SUNCT headaches and significant mental injury, changing her personality and relationships — She could not do many things that brought her pleasure — She was unlikely to work again.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7" w:name="Case Summary_35"/>
            <w:bookmarkEnd w:id="2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motor vehicle accidents. The plaintiff was injured in two motor vehicle accidents nine months apart. She would permanently suffer from ongoing low back and neck pain, headaches and negative impacts on mood and sleep. She had just started a job as a customer service worker before the first accident, but had not worked for many years before then. She had a number of health problems before the first accident. She was very involved in her community before.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8" w:name="Holdings of Court_30"/>
            <w:bookmarkEnd w:id="248"/>
            <w:r>
              <w:rPr>
                <w:rFonts w:ascii="arial" w:eastAsia="arial" w:hAnsi="arial" w:cs="arial"/>
                <w:color w:val="000000"/>
                <w:sz w:val="20"/>
                <w:lang w:val="en-US" w:eastAsia="en-US" w:bidi="ar-SA"/>
              </w:rPr>
              <w:t>HELD: The plaintiff was awarded $140,000 in non-pecuniary damages, $90,000 for past loss of earning capacity, $220,000 for loss of future earning capacity, $25,300 for cost of future care and $12,313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49 at the time of the first accident. Her injuries were very serious and had a devastating impact on her life. She had chronic migraines, daily pain in her low back and neck, ongoing debilitating pain from frequent SUNCT headaches and a significant mental injury, changing her personality and relationships. She could not do many of the things that brought her pleasure. She was unlikely to work again. The award for past loss of earning capacity was reduced by 30 per cent to reflect the real possibility that she would not have been able to work full-time on a sustained basis. Her loss of future earning capacity was a loss of a capital asset. She would have worked at a minimum wage level until age 65. It was appropriate to apply a discount to reflect the real possibility that she would not have worked full-time. The award for cost of future care included amounts for cannabis and psychological counselling.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9" w:name="Legislation Cited_18"/>
      <w:bookmarkEnd w:id="2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6"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Scale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0" w:name="Counsel_38"/>
      <w:bookmarkEnd w:id="2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Grunder.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Rogers.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1" w:name="Judgment_38"/>
      <w:bookmarkEnd w:id="251"/>
      <w:r>
        <w:pict>
          <v:line id="_x0000_s1208"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Did the accidents cause or exacerbate Ms. Erickson's injuries?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Erickson's abilities and health pre-accident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Erickson's abilities and health post-accident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shoulder, and back pain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Mood and sleep changes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Back, neck and hip pain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Mood and sleep disorders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What is Ms. Erickson's 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Is Ms. Erickson entitled to damages?</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Pre-trial loss of earning capacity;</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homemaking capacity</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2" w:name="W.A. BAKER J."/>
            <w:bookmarkEnd w:id="252"/>
            <w:r>
              <w:rPr>
                <w:rFonts w:ascii="arial" w:eastAsia="arial" w:hAnsi="arial" w:cs="arial"/>
                <w:b/>
                <w:color w:val="000000"/>
                <w:sz w:val="30"/>
                <w:lang w:val="en-US" w:eastAsia="en-US" w:bidi="ar-SA"/>
              </w:rPr>
              <w:t>W.A.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Mary Erickson was injured in two motor vehicle accidents, one on September 3, 2013 and one on June 3, 2014. This case is about determining the nature of her injuries, their impact on her life, and any damages that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Erickson testified that she was struck on the passenger side of her car by Mr. Saifi on September 3, 2013 as she travelled through the intersection of Guildford Way and Pinetree Way in Coquitlam. She testified that on June 3, 2014 she was struck by a black SUV as she approached the exit onto the Lougheed Highway in Coquitlam. She was unable to identify the owner of the black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defence did not formally admit liability for either accident. However, as stated by defence counsel, the defence did not vigorously oppose liability. I was presented with evidence from the plaintiff as to how the accidents occurred through the fault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I received no contrary evidence or submissions from the defence as to the cause of the accidents or as to any fault on the part of Ms. Erickson. As such, I find that the defendants are at fault and are liable for any losses arising from these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Further, the plaintiff does not claim that she suffered new independent injuries in the second accident. Rather, she claims that the injuries she suffered in the first accident were aggravated by the second accident. The plaintiff argues that the accidents are indivisible as they relate to her injuries, and the defence did not argue to the contrary. As such, in my reasons I make no material distinction between the two accidents as they relate to Ms. Erickson's injuries: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Mary Erickson claims for loss of future earning capacity, non-pecuniary damages, pre-trial loss of earning capacity, future care and special damages resulting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case raises the following issues: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accidents cause or exacerbate Ms. Erickson's injuries?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Ms. Erickson's prognosis?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Erickson entitled to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Did the accidents cause or exacerbate Ms. Erickson's injuries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Erickson claims the injuries suffered caused pain in her neck, shoulders, upper back, low back, left hip, and groin, as well as headaches, anxiety, and sleeping difficulties.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Ms. Erickson's abilities and health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Erickson had a complicated pre-accident health history. In 2006 Ms. Erickson was in an accident where she was a passenger on a transit bus. This accident resulted in a number of injuries and was the subject of an earlier decision of this Court,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In addition, and as documented in the 2012 decision, Ms. Erickson had been in at least three motor vehicle accidents prior to the 2006 bus accident, and was diagnosed with HIV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2012 trial, Ms. Erickson suffered from severe left hip pain, chronic back pain including intermittent low back pain which had existed for several years before the 2006 accident, pain and instability in her right wrist, depression, trigger fingers, poor memory, and somnolence.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Moira Bradford is Ms. Erickson's treating physician, and has been her physician since 1998. She provided two opinions in respect of this trial, dated March 23, 2017 and June 7,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Bradford describes Ms. Erickson's pre-accident health conditions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Erickson had pain over the outer aspect of her left hip and was taking ibuprofen about four times a week for this. She was not taking any prescription pain medication. She also was having some pain over her appendectomy scar from August 2013.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Erickson had chronic, intermittent lower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Erickson was able to sleep thru the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Erickson had a left hip replacement in July 2009 and has walked with a cane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Erickson testified that just prior to the accident in 2013, while her back pain was sore, it was not so sore that she required medication on a constant basis. She said the pain was on and off, and was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her hip surgery in 2009 she worked hard to recover physically through exercise and therapy. By the summer of 2013 she was able to return to bike riding.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the 2013 accident, Ms. Erickson was very involved in her community. She volunteered with the Hummingbird Society, repaired toys for charity, was on the parent advisory committee for her daughter's school, worked with the aboriginal department at the school, volunteered with and sat on the executive for her daughter's hockey league, drove players and raised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Erickson's spouse, daughter and good friend Heidi Stout all testified, and described Ms. Erickson as an optimistic, upbeat, high energy person. Her daughter described her before the accident as the "team mom" who was the loudest cheerleader and was always focussed on making sure the kids had the best time. Heidi Stout said Ms. Erickson was bright, quick, and very social, attending social occasions, and joining with Ms. Stout in taking care of holiday preparations, such as Christmas Day meals.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Turner, Ms. Erickson's spouse, said that his wife had a nearly photographic memory before the accidents, that she accompanied him on his long haul trips as a truck driver, planned all kinds of family outings, and was great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Ms. Erickson had not worked for many years, in the summer of 2013 she had just started employment again. She joined a government program which trained people for re-entry to the job market. She learned how to find jobs, how to write resumes, and how to conduct herself in interviews. She applied for a number of jobs and was hired as a customer service worker with a company called Healthtek Enterprises Inc. (Healthtek), a job which came with a benefit plan. She had just started this new job when she was in the first accident on September 3, 2013.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Ms. Erickson's abilities and health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Bradford detailed a number of significant health issues which arose after the accident in 2013. The most significant of these is an extremely painful type of headache known as short-lasting unilateral neuralgiform headache with conjunctival injection and tearing (SUNCT).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the 2013 accident, Ms. Erickson began experiencing severe headaches which she reported to her doctor in September 2013. In the fall of 2013 Ms. Erickson began to describe the headaches as two types: pounding headaches (migraines) and severe headaches located over one eye. Ultimately Ms. Erickson obtained some relief from the migraine headaches using Topamax, morphine and medical cannabis. The second type of headache was unusual and did not respond to conventional, or any,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Bradford was unable to find a successful treatment regime for the more severe type of headache, and so referred Ms. Erickson to a neurologist. Dr. Toth diagnosed Ms. Erickson with short lasting neuralgiform headaches with conjunctival injection and tearing, a rare form of headache referred to as a SUNCT headache. In May 2015 Ms. Erickson began seeing a neurologist, Dr. Marketa van den Elzen, for her SUNCT headaches. Dr. van den Elzen provided an opinion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van den Elzen testified that SUNCT headaches are very rare. They are characterized by short stabs of severe pain lasting between 5 to 200 seconds, always in the same specific place in the head, associated with the eye, and producing tears at the time of the headache. This is contrasted with migraine headaches, which are long-lasting and can be anywhere on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Erickson described her SUNCT headaches as severe shooting headaches that feel to her like somebody was pulling a hot knife through her head and into her eye. Ms. Erickson described them as "brain burns". They affect her ability to concentrate while they are occurring, and they are completely unpredictable. Ms. Erickson testified that the SUNCT headaches can occur multiple times back to back in an hour, and then an hour or more can pass when she has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Throughout her testimony Ms. Erickson suffered numerous episodes of these SUNCT headaches, which caused her to wince, stop speaking and freeze up while the headache passed. The headaches also caused her left eye to water. At one point a headache was so severe that we had to stand down the proceedings for a period of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Neck, shoulder,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addition to the headaches, Ms. Erickson suffered a number of other injuries. Dr. Bradford noted that immediately after the accident on September 3, 2013, Ms. Erickson began experiencing pain in her neck, shoulder, and upper back. By December 2013 Ms. Erickson was experiencing continuous sharp pain at the base of her skull on left side of her neck. Dr. Bradford is of the opinion that Ms. Erickson suffered a soft tissue injury resulting in neck pain. The pain started immediately after the accident on September 3, 2013 and worsened following the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Erickson also experienced some pain in her left shoulder which she attributed to the 2013 accident, but this had resolved in the years before trial. While Ms. Erickson continues to experience some right shoulder pain, at trial Dr. Bradford confirmed that this shoulder pain was not related to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Bradford stated that, prior to the 2013 accident, Ms. Erickson's pre-existing low back pain had resolved to the point that it was intermittent and she could do such things as her bike for up to five hours and return to work. Following the 2013 accident, Ms. Erickson began experiencing lower back pain radiating into her groin and down to her knees. While her groin pain and knee pain have improved, her lower back pain has continued. Dr. Bradford notes that in 2017 Ms. Erickson reported her back pain as constant and at a pain level of 7-10/10. Dr. Bradford opined that Ms. Erickson's lower back pain has significantly worsened since the two accidents at issue.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Mood and sleep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terms of Ms. Erickson's overall attitude, the two accidents have taken a toll. Her sleep is disrupted by the pain arising from her injuries. She is short tempered. She finds her ability to participate in daily, social and recreational activities is impaired. She finds it difficult to do bookkeeping tasks that she used to do for her husband. She is anxious when she is a passenger in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Erickson has greatly reduced her involvement in her daughter's sports. She does not attend as many of her daughter's games as before, and her daughter's teammates miss her energetic encouragement at their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Heidi Stout testified she has seen a cognitive decline in Ms. Erickson since the accidents. Ms. Erickson struggles with tasks she could easily do before. She does not participate in social activities as she did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Glenn Turner, testified to the changes in Ms. Erickson. She has changed from an optimistic, high energy, fun person to a person who is defeated. He notices her fatigue, anxiety and short temper. Her memory is compromised and she no longer enjoys life. She is no longer as independent as she was before. He had to change his job from being a long haul truck driver to a job closer to home so he could look after the home and make sure his wife was safe. This job change has resulted in a loss of income for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Bradford was of the opinion that Ms. Erickson suffered from a significant disruption of her sleep as a result of the motor vehicle accidents. Specifically her sleep is disrupted due to headaches and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Bradford also commented on Ms. Erickson's mood. She noted that Ms. Erickson had at least two episodes of depression which had resolved spontaneously. These episodes included suicidal thoughts. Dr. Bradford attributed the mood difficulties to the continuous pain and restricted physical abilities of Ms. Erickson which she attributes to the injuries suffered in the accidents.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Ms. Erickson has the onus of proving that her injuries and pain were substantially connected to the accidents,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level: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11, as cited in </w:t>
      </w:r>
      <w:r>
        <w:rPr>
          <w:rFonts w:ascii="arial" w:eastAsia="arial" w:hAnsi="arial" w:cs="arial"/>
          <w:i/>
          <w:color w:val="000000"/>
          <w:sz w:val="20"/>
          <w:lang w:val="en-US" w:eastAsia="en-US" w:bidi="ar-SA"/>
        </w:rPr>
        <w:t>Thompson v. Helgeson</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2017 BCSC 927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at para. 28.</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other than periodic headaches which could be easily managed with over the counter medicine, Ms. Erickson did not suffer from chronic or unusual headaches prior the accidents. Immediately following the accidents, Ms. Erickson began experiencing severe headaches, which over time became diagnosed as two distinct types: migraine and SUNCT. I found Ms. Erickson to be a reliable and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van den Elzen was of the opinion that the motor vehicle accidents experienced by Ms. Erickson are most likely the direct or primary cause of her SUNCT headaches. Similarly, it was Dr. Bradford's opinion that both the SUNCT headaches and the migraine headaches resulted from the two accidents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tendered no medical evidence to counter the evidence of Dr. Bradford and Dr. van den Elzen. Both of these doctors were credible and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defence argues that Dr. Bradford's clinical records were not clear as to when the SUNCT headaches began, and that it was plausible that the accidents did not cause the SUNCT headaches. I am satisfied that the evidence established the onset of severe headaches began immediately following the 2013 accident. It took some time for Ms. Erickson and Dr. Bradford to distinguish between the two types of headaches, and ultimately for Dr. Bradford to refer Ms. Erickson to a neurologist. However, I find that the delay in diagnosing the SUNCT headaches is a function of the rarity of the type of headache, and does not establish that the SUNCT headaches arose independent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of all witnesses as to the headaches suffered by Ms. Erickson since the accident was consistent. I am satisfied that the first accident caused the migraine and SUNCT headaches, and the second accident exacerbated these headaches.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Back, neck and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Ms. Erickson had pre-existing back pain, it was manageable. Following her hip surgery, Ms. Erickson had resumed a number of activities such as bike riding, and had started back to work. Since the accidents, her back pain is ongoing and significantly disrupts her life. The improvement in back pain Ms. Erickson enjoyed prior to the 2013 accident has reversed, and she now requires ongoing pain management to address her low back pain. This low back pain exacerbates her difficulties sleeping and her mood, as will be discussed below. It is Dr. Bradford's opinion that the 2013 and 2014 have caused a worsening of Ms. Erickson's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but for the accidents, Ms. Erickson's low back pain would have continued to lessen and she would have been able to adequately manage it. Because of the accidents, however, Ms. Erickson's back injuries have been greatly exacerbated resulting in significant declines in her health. I am satisfied that her worsening low back pain is substantially connected to the 2013 and 2014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Bradford diagnosed Ms. Erickson with a soft tissue injury from the 2013 accident which resulted in ongoing neck pain. Dr. Bradford attributes the neck injury to the motor vehicle accidents. No contrary medical opinion was tendered by the defence. I am satisfied that Ms. Erickson's neck pain was caused by the 2013 accident and was exacerbated by the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her left hip pain, Dr. Bradford could not conclude that the motor vehicle accidents resulted in increased pain. Dr. Bradford was of the opinion that while her left hip pain had worsened from 2013 to 2017, this pain would likely have progressed in any event due to her pre-existing injuries. I find that Ms. Erickson's ongoing hip pain is not casually associated with the 2013 and 2014 accidents.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Mood and sleep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Erickson was not in perfect health at the time of the 2013 accident. Nevertheless, in the summer of 2013 she was a happy, energetic person actively engaged in her community and family life. She was excited to be re-entering the job market and was an independent person with a "get up and go" attitude. She was able to manage her health issues successfully. This all changed with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impact on her life of the SUNCT headaches was well demonstrated. These headaches constantly interrupt her thinking and concentration. In addition, she suffers from increased low back pain and neck pain from the accidents. The low back pain and neck pain interfere with her sleep. Her headaches interfere with her ability to perform physical treatments which may assist in improving her back and shoulder pain. All of her injuries have interfered with her ability to work and her husband has had to adjust his work to assist Ms. Erickson. All of these issues have had a serious and negative impact on her personality and mood. The noticeable negative change in Ms. Erickson's mood and personality was described by herself and by her husband, daughter, and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Bradford noted that Ms. Erickson has had low mood since the accidents and has been depressed. While Dr. Bradford recommended Ms. Erickson see a psychologist, Ms. Erickson has not done so due to her lack of financial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that the accidents have substantially contributed to her sleeping impairment, stress and mood disorder.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What is Ms. Erickson's prognosis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Bradford was of the opinion that Ms. Erickson's migraine headaches may improve over time with physical therapy and counselling for cognitive behavioural therapy (CBT) to help manage the chronic pain. However she could not predict whether the migraine headaches would resolve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her reports dated 2017 and 2018, Dr. Bradford states her opinion that Ms. Erickson's neck and back pain are best treated with active rehabilitation and physiotherapy or massage therapy, medications, and possibly facet joint injections, as well as CBT for chronic pain management. However, she also notes that because her SUNCT headaches are triggered by head movement, Ms. Erickson's ability to participate in some of these therapies is reduced. Dr. Bradford is of the opinion that Ms. Erickson's back and neck pain are unlikely to fully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Bradford relates Ms. Erickson's mood problems to her pain and expects that future episodes may arise if her pain levels do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her 2018 report, Dr. Bradford was of the following opinion regarding Ms. Erickson's vocational and general disabilities:</w:t>
      </w:r>
      <w:r>
        <w:rPr>
          <w:rFonts w:ascii="arial" w:eastAsia="arial" w:hAnsi="arial" w:cs="arial"/>
          <w:sz w:val="20"/>
          <w:lang w:val="en-US" w:eastAsia="en-US" w:bidi="ar-SA"/>
        </w:rPr>
        <w:cr/>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Mary Erickson has been completely disabled from any vocation since the MVA of 2013 and remains completely disabled for the foreseeable future. This is related to the severity and persistence of the pain from SUNCT headaches, back, hip and shoulder pain.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been significantly disabled from doing her household chores and leisure activities for the same reasons but is able to do the limited amount by pacing herself. She appears motivated to get better and continues to try different activities and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her SUNCT headaches, Dr. van den Elzen noted that various medical treatments had been attempted and that Ms. Erickson was cooperative with all recommendations. Unfortunately, however, the treatments have not led to any improvement of the SUNCT headaches. She has tried prednisone, gabapentin, lamotrigine, high-dose indomethacin, intranasal lidocaine, and nerve blocks. Dr. van den Elzen notes that treatment of SUNCT syndrome is often unsuccessful and there are no further treatment which can be offered to Ms. Erickson.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van den Elzen also noted that while some incidents of SUNCT headaches resolve spontaneously, because Ms. Erickson's SUNCT headaches were related to the trauma of the accidents and have been ongoing since 2013, it was unlikely that she would experience a spontaneous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van den Elzen opines that Ms. Erickson will have problems performing tasks where sustained attention is required, and she is unable to perform duties which subjectively worsen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van den Elzen gave the following opinion in relation to Ms. Erickson's vocational and general disability: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only on the headache that I was seeing her for, I expect her to have problems performing tasks where sustained attention is required, being episodically interrupted, and disabled by the stabs of pain at unpredictable intervals. She is also unable to perform duties that subjectively worsen her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able to take care of her personal needs and activities of daily living, although given her frequent headache, any endeavour is expected to take her longer time to accomplish than it would have prior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Ms. Erickson will permanently suffer from ongoing low back pain, neck pain, and SUNCT and migraine headaches resulting from the 2013 and 2014 accidents. In addition, I find that Ms. Erickson will suffer permanent negative impacts on mood and sleep resulting from these unresolved physical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Is Ms. Erickson entitled to damages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As stated by our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43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Erickson seeks $150,000 in non-pecuniary damages. The defence agrees some non-pecuniary damages are properly awarded, but submits the correct award is $80,000 less a 20% discount.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defence argues there should be an adjustment to any award based on the real or substantial possibility that Ms. Erickson's back and hip pain would have gotten worse regardless of the accidents. They argue the defendants are not required to compensate Ms. Erickson for any worsening in her condition which would have occurred in any event: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paras. 27 and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found that Ms. Erickson's hip pain would have continued regardless of the accidents, and is not causally related to the accident. I have also found that her worsening low back pain is substantially connected to the accidents. I find that her pre-existing low back pain would have stayed the same or improved but for the accident. Ms. Erickson had no pre-existing conditions related to her neck pain or headaches. I will assess her general damages in relation to the injuries that I have found to be causally related to the accidents, and I decline to adjust general damages as submitted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also note that the defence argued that Ms. Erickson had not seen a psychologist for the impacts on her mood and attitude which I have described above. The Supreme Court of Canada has confirmed that a professional diagnosis of a recognized psychiatric illness is not required to establish a compensable claim for a mental injury: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at para. 2, 36-38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Based on the evidence I have set out above, I am satisfied that Ms. Erickson has suffered more than a mere psychological upset. She has suffered a mental injury, as that term has been described in the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which is properly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Ms. Erickson relies on </w:t>
      </w:r>
      <w:r>
        <w:rPr>
          <w:rFonts w:ascii="arial" w:eastAsia="arial" w:hAnsi="arial" w:cs="arial"/>
          <w:i/>
          <w:color w:val="000000"/>
          <w:sz w:val="20"/>
          <w:lang w:val="en-US" w:eastAsia="en-US" w:bidi="ar-SA"/>
        </w:rPr>
        <w:t>Cumpf v. Barbuta</w:t>
      </w:r>
      <w:r>
        <w:rPr>
          <w:rFonts w:ascii="arial" w:eastAsia="arial" w:hAnsi="arial" w:cs="arial"/>
          <w:color w:val="000000"/>
          <w:sz w:val="20"/>
          <w:lang w:val="en-US" w:eastAsia="en-US" w:bidi="ar-SA"/>
        </w:rPr>
        <w:t>, 2014 BCSC 11898 [</w:t>
      </w:r>
      <w:r>
        <w:rPr>
          <w:rFonts w:ascii="arial" w:eastAsia="arial" w:hAnsi="arial" w:cs="arial"/>
          <w:i/>
          <w:color w:val="000000"/>
          <w:sz w:val="20"/>
          <w:lang w:val="en-US" w:eastAsia="en-US" w:bidi="ar-SA"/>
        </w:rPr>
        <w:t>Cumpf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Reid v. Breaks</w:t>
      </w:r>
      <w:r>
        <w:rPr>
          <w:rFonts w:ascii="arial" w:eastAsia="arial" w:hAnsi="arial" w:cs="arial"/>
          <w:color w:val="000000"/>
          <w:sz w:val="20"/>
          <w:lang w:val="en-US" w:eastAsia="en-US" w:bidi="ar-SA"/>
        </w:rPr>
        <w:t xml:space="preserve">, 2016 BCSC 85, </w:t>
      </w:r>
      <w:r>
        <w:rPr>
          <w:rFonts w:ascii="arial" w:eastAsia="arial" w:hAnsi="arial" w:cs="arial"/>
          <w:i/>
          <w:color w:val="000000"/>
          <w:sz w:val="20"/>
          <w:lang w:val="en-US" w:eastAsia="en-US" w:bidi="ar-SA"/>
        </w:rPr>
        <w:t>Thompson, Kaler v. Lee</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2016 BCSC 1125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Chong v. Nguyen</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2017 BCSC 1564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Elpel v. Glover</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2018 BCSC 1404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Elpel</w:t>
      </w:r>
      <w:r>
        <w:rPr>
          <w:rFonts w:ascii="arial" w:eastAsia="arial" w:hAnsi="arial" w:cs="arial"/>
          <w:color w:val="000000"/>
          <w:sz w:val="20"/>
          <w:lang w:val="en-US" w:eastAsia="en-US" w:bidi="ar-SA"/>
        </w:rPr>
        <w:t>] where awards ranged from $110,000 to $150,000 for plaintiffs suffering chronic pain with resulting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defence relies on </w:t>
      </w:r>
      <w:r>
        <w:rPr>
          <w:rFonts w:ascii="arial" w:eastAsia="arial" w:hAnsi="arial" w:cs="arial"/>
          <w:i/>
          <w:color w:val="000000"/>
          <w:sz w:val="20"/>
          <w:lang w:val="en-US" w:eastAsia="en-US" w:bidi="ar-SA"/>
        </w:rPr>
        <w:t>Laramie-Bartman v. Eager</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2002 BCSC 1175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Laramie-Bartman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Mandra v. Lu</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2014 BCSC 2199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Picton v. Fredericks</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2016 BCSC 1470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Yannacopoulos v. Cronk</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2015 BCSC 1154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Riley v. Ritsco</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2018 BCCA 366</w:t>
        </w:r>
      </w:hyperlink>
      <w:r>
        <w:rPr>
          <w:rFonts w:ascii="arial" w:eastAsia="arial" w:hAnsi="arial" w:cs="arial"/>
          <w:color w:val="000000"/>
          <w:sz w:val="20"/>
          <w:lang w:val="en-US" w:eastAsia="en-US" w:bidi="ar-SA"/>
        </w:rPr>
        <w:t xml:space="preserve"> where awards ranged from $75,000 to $90,000 for non-pecuniary damages in cases with a range of physical and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Each case is unique. Non-pecuniary damages must be assessed taking into account the unique factors arising in the case at bar. Of the cases noted above, I find the following to be useful comparators: </w:t>
      </w:r>
      <w:r>
        <w:rPr>
          <w:rFonts w:ascii="arial" w:eastAsia="arial" w:hAnsi="arial" w:cs="arial"/>
          <w:i/>
          <w:color w:val="000000"/>
          <w:sz w:val="20"/>
          <w:lang w:val="en-US" w:eastAsia="en-US" w:bidi="ar-SA"/>
        </w:rPr>
        <w:t>Laramie-Bartman, Cumpf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Elpel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Erickson was 49 at the time of the 2013 accident. Her injuries are very serious and have had a devastating impact on her life. As a result of the accidents, she suffers from chronic migraines and daily pain in her low back and neck, and suffers from ongoing debilitating pain from her frequent SUNCT headaches. Her injuries have resulted in a significant mental injury, changing her personality and relationships with friends and family. She can no longer do many of the things which brought her pleasure in the past. She is unlikely to work again. I find that an award of $140,000 is appropriate for non-pecuniary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Pre-trial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Ms. Erickson claims loss of earning capacity from the date of the 2013 accident to trial. In a claim for loss of past earning capacity, the plaintiff must establish a real and substantial possibility of the hypothetical past events happening: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36-37. Ms. Erickson's claim is complicated by the fact that she had only just re-entered the work force at the time of the 2013 accident. As such, I do not have a significant earnings history to rely on in assessing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During the summer of 2013 Ms. Erickson enrolled in a return-to-work program. At the end of that program Ms. Erickson started training to do telephone sales for Healthtek. Ms. Erickson worked only two days before the 2013 accident. Her schedule was to be 40 hours/week, at $12.50/hour. There was a bonus program at Healthtek that would have allowed Ms. Erickson to increase her weekly earnings. However, I find that while bonuses were technically possible, I do not have sufficient evidence before me to conclude there was a real possibility that she would have received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years prior to the summer of 2013, Ms. Erickson had not been engaged in any remunerative employment. She assisted her husband with bookkeeping, and had assisted with some on-site security duties when they lived on the site of one of Mr. Erickson's employers many years ago. In the seven years before the 2013 accident her total reportable income was less than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Erickson had a number of health problems at the time of the 2013 accident. While she was functioning well in her personal life, she had not established her tolerance for full time work on an ongoing basis. The defence argues that it is unlikely, based on the evidence, that Ms. Erickson would have been continuously employed on a full time basis over the past five years. I agree. I find there is a real possibility that Ms. Erickson would not have been able to achieve consistent full time work prior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Erickson claims $141,500 for pre-trial loss of earning capacity based on her being off of work at $500/week from September 3, 2013 to February 4, 2019. I am satisfied that this claim should be reduced by approximately 30% to reflect the real possibility that she would not have been able to work full time on a sustained basis. I award Ms. Erickson $90,000 for pre-trial loss of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am satisfied that the injuries suffered by Ms. Erickson render her incapable of returning to work on a full or part time basis. The factors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as relied on by the defence, are not applicable. This is not a case where the plaintiff is able to work, but at a lesser level than before the injury. Ms. Erickson was capable of working before the 2013 accident. She is no longer capable of working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Ms. Erickson's loss is a loss of a capital asset. It is not a mathematical calculation, and involves assessing her likely future had the accidents not occurred. I must assess the likely length of her working life, and account for positive and negative contingencies: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accept that Ms. Erickson was eager to re-enter the workforce in 2013, and had successfully taken steps to achieve that goal. She had started a full time job just before the 2013 accident. Her employment prospects were modest, and her claim reasonably reflects this. The starting point of her claim is that she would work 40 hours/week at minimum wage. At the time of trial Ms. Erickson was 54. She seeks damages to compensate for her loss of ability to earn an income up to age 65. She submits I should assess her loss at $300,000, which is approximately $40,000 more than the present value of a straight wage calculation. The plaintiff also notes that the minimum wage in B.C. will increase to $15.20/hour in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defence submits that Ms. Erickson's loss should be assessed at $40,000, an amount equivalent to less than two years of full time earnings at minimum wage. The amount is proposed to reflect the fact that Ms. Erickson received a loss of earning capacity award in the 2012 trial related to the 2006 bus accident, and she suffers from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found that Ms. Erickson's pre-existing conditions did not preclude her from working, although I do agree that there is real possibility that she would not work full time on a sustained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the 2012 decision Ms. Erickson was awarded $25,000 for loss of earning capacity. She was not found to be totally disabled, and the court applied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to reflect a diminishment in her earning capacity. The defence relies on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to support its proposition that I must deduct the 2012 loss of earning capacity award from any award I make in the case before me. I disagree.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the court assessed apportionment between joint tortfeasors in the context of indivisible injuries. Two claims had been started by the plaintiff, and a settlement had been reached on one of the claims. The issue was whether there should be an exception to the rule against double recovery for settlement proceeds.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is inapplicable to the case before me. The injuries Ms. Erickson suffered in 2006 are entirely separate from the injuries caused by the accidents in 2013 and 2014. No issue of double recovery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satisfied that Ms. Erickson would have worked until she was 65 at a minimum wage level. I am also satisfied that she has not established her ability to work full time on a sustained basis given her pre-existing health conditions. I accept that an increase in the B.C. minimum wage will occur during the period of her loss, which needs to be accounted for in any award. I find that it is appropriate to apply a discount to her loss of future capacity to reflect the real possibility that she would not have worked full time until age 65. Taking all the above considerations into account, I find that Ms. Erickson has suffered a loss of future earning capacity in the amount of $220,000.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Erickson claims costs of future care for physiotherapy in the total amount of $300, counselling in the amount of $1,920 ($160/session), and medical cannabis in the amount of $39,243 (approximately $200/month for the next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defence conceded that $300 for physiotherapy was reasonable. The defence also submitted that Ms. Erickson would benefit from psychological counselling in the amount of $5,000 ($200/session). I award Ms. Erickson $300 for physiotherapy, and $5,000 for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defence took issue with the medical cannabis claim. They argue that no medical professional testified that it was necessary and, to the contrary, Dr. van den Elzen stated she did not think it was useful. They also point out that evidence of the quantity being used on a daily basis was lacking. In </w:t>
      </w:r>
      <w:r>
        <w:rPr>
          <w:rFonts w:ascii="arial" w:eastAsia="arial" w:hAnsi="arial" w:cs="arial"/>
          <w:i/>
          <w:color w:val="000000"/>
          <w:sz w:val="20"/>
          <w:lang w:val="en-US" w:eastAsia="en-US" w:bidi="ar-SA"/>
        </w:rPr>
        <w:t>Joinson v. Heran</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2011 BCSC 727</w:t>
        </w:r>
      </w:hyperlink>
      <w:r>
        <w:rPr>
          <w:rFonts w:ascii="arial" w:eastAsia="arial" w:hAnsi="arial" w:cs="arial"/>
          <w:color w:val="000000"/>
          <w:sz w:val="20"/>
          <w:lang w:val="en-US" w:eastAsia="en-US" w:bidi="ar-SA"/>
        </w:rPr>
        <w:t>, the court did award an amount for cannabis, although at a dosage recommended by Health Canada. There was no evidence in the case before me as to what was recommended by any health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Erickson testified that her HIV specialist, Dr. Montaner recommended cannabis for her and she found it to be helpful in relieving her pain. Dr. van den Elzen acknowledged in her testimony that Dr. Montaner had recommended cannabis for Ms. Erickson, while allowing that she personally wasn't convinced it was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Ms. Erickson points to the approach to future care awards set out in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which notes that future care items do not need to be expressly approved by medical experts and that the court must look to the whole of the evidence to determine whether an award is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Cannabis no longer requires a prescription in Canada. The use of cannabis for pain treatment is now more akin to self medication with over the counter pain killers. I am satisfied that Ms. Erickson does use cannabis to assist with her pain arising from her injuries, and that this was recommended by Dr. Montaner. However, I am not satisfied that Ms. Erickson has clearly established the amount she requires, or how long this treatment will be required. She seeks $200/month for 20 years. I award $20,000 in total for the cost of cannabis to treat her pain symptoms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total value I award for cost of future care is $25,300, to which a discount rate of 2% must be applied.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Interference with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Erickson seeks a separate award of $10,000 to compensate her for interference with her homemaking capacity resulting from her injuries. It is clear from the evidence that Ms. Erickson is not able to complete the homemaking duties she had before the accidents. Before the accident she was responsible for all of the homemaking. She can only complete a fraction of these tasks now. She cannot do the laundry, clean the house properly, or bake the way she used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No evidence was tendered to establish the costs of obtaining replacement household care. The plaintiff seeks a pecuniary award to compensate for her loss of capacity to perform normal household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defence argues that no separate award for interference with homemaking capacity should be made. They argue that any loss under this head should be addressed in the non-pecuniary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Chief Justice Bauman confirmed that the trial judge has the discretion to assess this loss as a separate pecuniary head, or as part of the non-pecuniary award. I find that in the circumstances of this case, Ms. Erickson's interference with homemaking is fully addressed within the non-pecuniary award I have already made.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Erickson seeks $12,313 for special damages, which include costs of physiotherapy, massage therapy, chiropractic treatments, drugs, medical cannabis, parking and mileage. The defence made no substantive submissions on any of the special damages claimed. I am satisfied that the special damages were reasonably and necessarily incurred, and are payable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Erickson is awarded the following damages against the defendants, jointly: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3764"/>
        <w:gridCol w:w="209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4287"/>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4391"/>
        <w:gridCol w:w="146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3660"/>
        <w:gridCol w:w="2091"/>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$25,300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3346"/>
        <w:gridCol w:w="2405"/>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$12,313</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If the parties wish to make submissions on costs, they may do so in writing within 30 days of this judgment. If I receive no submissions on costs, I award costs to Ms. Erickson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Haftbaradaran v. St. Hubertus Estate Winery Ltd., [2011] B.C.J. No. 1983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21-23 and October 6-7,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21,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87580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Kelowna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1983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2011 BCSC 1424</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[2012] CLLC para. 210-016</w:t>
        </w:r>
      </w:hyperlink>
    </w:p>
    <w:p>
      <w:pPr>
        <w:spacing w:before="120" w:line="260" w:lineRule="atLeast"/>
        <w:rPr>
          <w:lang w:val="en-US" w:eastAsia="en-US" w:bidi="ar-SA"/>
        </w:rPr>
      </w:pPr>
      <w:r>
        <w:rPr>
          <w:rFonts w:ascii="arial" w:eastAsia="arial" w:hAnsi="arial" w:cs="arial"/>
          <w:color w:val="000000"/>
          <w:sz w:val="20"/>
          <w:lang w:val="en-US" w:eastAsia="en-US" w:bidi="ar-SA"/>
        </w:rPr>
        <w:t>Between Hooman Haftbaradaran, Plaintiff, and St. Hubertus Estate Winery Ltd.,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0" style="position:absolute;z-index:2516992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53" w:name="Keywords_39"/>
      <w:bookmarkEnd w:id="253"/>
      <w:r>
        <w:rPr>
          <w:rFonts w:ascii="arial" w:eastAsia="arial" w:hAnsi="arial" w:cs="arial"/>
          <w:b/>
          <w:color w:val="000000"/>
          <w:sz w:val="20"/>
          <w:lang w:val="en-US" w:eastAsia="en-US" w:bidi="ar-SA"/>
        </w:rPr>
        <w:t>Employment law — Discipline and termination of employment — Resignation — Action by employee for damages for wrongful dismissal allowed — Employee, age 38, had background and degree in viticulture industry — He was hired by employer, a winery, as cellar hand and quickly promoted to winemaker — Employee was prone to emotional outbursts — Altercation with employer's principal resulted in employee leaving property — Subsequent email discussed arrangements for terminating employment — Initial altercation was equivocal as to resignation, but subsequent email unequivocally terminated employment — Employee awarded eight months' pay in lieu of reasonable notice for termination after 23 months' employment — Claim for moral and punitive damages dismissed.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Employment law — Wrongful dismissal — Dismissal without cause — Reasonable notice period or wages in lieu — Age and circumstances of employee — Availability of alternate employment — Length of service — Status and responsibility of position — Action by employee for damages for wrongful dismissal allowed — Employee, age 38, had background and degree in viticulture industry — He was hired by employer, a winery, as cellar hand and quickly promoted to winemaker — Employee was prone to emotional outbursts — Altercation with employer's principal resulted in employee leaving property — Subsequent email discussed arrangements for terminating employment — Initial altercation was equivocal as to resignation, but subsequent email unequivocally terminated employment — Employee awarded eight months' pay in lieu of reasonable notice for termination after 23 months' employment — Claim for moral and punitive damages dismissed.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Employment law — Wrongful dismissal damages — Occupation — Skilled trade — Duration of employment — Age of employee — Notice period — Action by employee for damages for wrongful dismissal allowed — Employee, age 38, had background and degree in viticulture industry — He was hired by employer, a winery, as cellar hand and quickly promoted to winemaker — Employee was prone to emotional outbursts — Altercation with employer's principal resulted in employee leaving property — Subsequent email discussed arrangements for terminating employment — Initial altercation was equivocal as to resignation, but subsequent email unequivocally terminated employment — Employee awarded eight months' pay in lieu of reasonable notice for termination after 23 months' employment — Claim for moral and punitive damages dismissed.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54" w:name="Case Summary_36"/>
            <w:bookmarkEnd w:id="25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Haftbaradaran, against the defendant, St. Hubertus Estate Winery, for damages flowing from termination of employment. The plaintiff, age 38, was born in Iran and raised in Germany. He had past experience in the viticulture and wine industries in Europe, the United States and Canada. He had a science degree specializing in viticulture and oenology. He vacationed in the Okanagan while working at a winery in Washington State and decided it was where he wished to pursue his career. The plaintiff worked for the defendant winery between May 2008 and April 2010. The plaintiff started as a cellar hand and was quickly promoted to winemaker. His pay effectively doubled during the course of his employment. A dispute arose between the defendant's principals and the plaintiff in October 2009 after the plaintiff unilaterally took a day off during the busy harvest season. A confrontation ensued in which the plaintiff became emotional and broke down. The plaintiff subsequently made a series of demands for non-wage benefits and an increase in pay. The defendants agreed to a raise and extra pay for consulting work. In April 2010, another emotional altercation culminated in the plaintiff placing his keys on his employer's desk and leaving the winery. The principals were used to his outbursts and sent an email stating that they had to make arrangements over the next four weeks to plan his departure from the company. The plaintiff retained counsel and sued. He suffered lengthy depressions until securing related employment in December 2010. The plaintiff sought damages in lieu of notice, moral damages for the manner of dismissal, general, special and future care damages for intentional infliction of mental distress, and punitive damages. The defendants submitted that the plaintiff voluntarily resigned. </w:t>
            </w:r>
            <w:r>
              <w:rPr>
                <w:lang w:val="en-US" w:eastAsia="en-US" w:bidi="ar-SA"/>
              </w:rPr>
              <w:cr/>
            </w:r>
          </w:p>
          <w:p>
            <w:pPr>
              <w:spacing w:before="120" w:line="260" w:lineRule="atLeast"/>
              <w:ind w:left="240"/>
              <w:jc w:val="both"/>
              <w:rPr>
                <w:lang w:val="en-US" w:eastAsia="en-US" w:bidi="ar-SA"/>
              </w:rPr>
            </w:pPr>
            <w:bookmarkStart w:id="255" w:name="Holdings of Court_31"/>
            <w:bookmarkEnd w:id="255"/>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April 2010 exchange between the parties was equivocal as it related to the issue of resignation or termination. The plaintiff's words and actions showed poor judgment, but did not amount to an unequivocal expression of resignation from his employment. Similarly, the principal's words and actions were not intended to be, and did not amount to termination. The cumulative effect of his words did not amount to a constructive dismissal. The subsequent email changed the parties' relationship, as it spoke unequivocally of the parties' working relationship coming to an end and did not acknowledge the ambiguity at the prior meeting. The email left no room for rapprochement by the plaintiff. The email terminated the plaintiff's contract of employment with the defendant. Given the plaintiff's skills in a specialized and narrow field, eight months' reasonable notice was appropriate. The manner of dismissal did not justify an award of moral damages. No malicious or outrageous conduct supported damages for intentional infliction of mental distress or punitive damages. The plaintiff was awarded damages of $30,684. </w:t>
            </w:r>
            <w:r>
              <w:rPr>
                <w:lang w:val="en-US" w:eastAsia="en-US" w:bidi="ar-SA"/>
              </w:rPr>
              <w:cr/>
            </w:r>
          </w:p>
          <w:p>
            <w:pPr>
              <w:rPr>
                <w:lang w:val="en-US" w:eastAsia="en-US" w:bidi="ar-SA"/>
              </w:rPr>
            </w:pPr>
          </w:p>
        </w:tc>
      </w:tr>
    </w:tbl>
    <w:p>
      <w:pPr>
        <w:jc w:val="both"/>
        <w:rPr>
          <w:lang w:val="en-US" w:eastAsia="en-US" w:bidi="ar-SA"/>
        </w:rPr>
      </w:pPr>
      <w:bookmarkStart w:id="256" w:name="Counsel_39"/>
      <w:bookmarkEnd w:id="25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1" style="position:absolute;z-index:2517504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H.A. Taylor.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T.L. Rempel.</w:t>
      </w:r>
      <w:r>
        <w:rPr>
          <w:lang w:val="en-US" w:eastAsia="en-US" w:bidi="ar-SA"/>
        </w:rPr>
        <w:cr/>
      </w:r>
    </w:p>
    <w:p>
      <w:pPr>
        <w:spacing w:after="240"/>
        <w:rPr>
          <w:lang w:val="en-US" w:eastAsia="en-US" w:bidi="ar-SA"/>
        </w:rPr>
      </w:pPr>
      <w:bookmarkStart w:id="257" w:name="Judgment_39"/>
      <w:bookmarkEnd w:id="257"/>
      <w:r>
        <w:pict>
          <v:line id="_x0000_s1212" style="position:absolute;z-index:25180160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8" w:name="P. ROGERS J._0"/>
            <w:bookmarkEnd w:id="258"/>
            <w:r>
              <w:rPr>
                <w:rFonts w:ascii="arial" w:eastAsia="arial" w:hAnsi="arial" w:cs="arial"/>
                <w:b/>
                <w:color w:val="000000"/>
                <w:sz w:val="30"/>
                <w:lang w:val="en-US" w:eastAsia="en-US" w:bidi="ar-SA"/>
              </w:rPr>
              <w:t>P. ROGERS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claim for breach of employment contract, the plaintiff seeks damages in lieu of notice; moral damages consequent to the manner by which his employment was terminated; general, special and future care damages for intentional infliction of mental distress; punitive damages; and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two central issues in the case are whether the plaintiff resigned his position or was fired, and if the latter, whether the manner of his dismissal was such as to merit an award of damages in excess of the usual measure of money in place of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employed by the defendant for just less than two years. The period of employment was from May 2008 to April 7, 2010. The defendant is a vineyard and winery. The plaintiff started out as a cellar hand and was quickly promoted to winemaker.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38 years old. He was born in Iran, was raised in Germany, and has worked in the viticulture and wine industries in Germany, the U.K., the U.S.A. and Canada. In 2007, the plaintiff obtained a BSc. from the University of Brighton in England. His studies at that university concentrated on viticulture, which is the process of growing grapes, and oenology, which is the process of turning grapes into wine.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part of his studies at Brighton, the plaintiff worked in various capacities at various wineries. These were relatively short engagements: three to six months at a stretch. These jobs included working as a general vineyard hand in Greece, as general vineyard and cellar worker in Germany, and as a cellar hand in a large winery in Washington State, USA. While he was working in the latter job, the plaintiff took a holiday in the Okanagan. The plaintiff was, by that point, nearing the end of his studies at Brighton University. He decided that he liked the Okanagan. He determined that the Okanagan is where he wanted to pursue a career in the wine industry.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Immediately after receiving his degree from Brighton, the plaintiff moved to Canada. He arrived as a landed immigrant in August 2007. The plaintiff settled first in a small town near Hamilton, Ontario. He took a job as a vintage assistant in the nearby Hidden Bench winery. The plaintiff left that job in October 2007. The plaintiff did not describe in his evidence the circumstances of his leaving that position. Those were likely not happy circumstances because the plaintiff did not list his experience at Hidden Bench in any of the resumes he subsequently distributed to potential employers.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any event, after leaving his job in Ontario, the plaintiff moved to the Okanagan. He arrived in Kelowna in October 2008. The plaintiff obtained a job as a harvest assistant at the Summerhill Pyramid Winery. Summerhill is a small winery located on agricultural land inside Kelowna's city boundary. As a vintage assistant, the plaintiff laboured under the supervision of the plant's winemaker. The plaintiff put his shoulder to most aspects of Summerhill's winemaking process. This included getting the grapes off the vine, turning them into juice, commencing fermentation, and storing the young wine in vats. At Summerhill, the plaintiff followed the winemaker's directions; he did not make significant decisions of his own. He was paid $13.50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Vintage assistant positions end when the vintage is in the vat or barrel. For Summerhill, its vintage was finished in April 2008, and at that time Summerhill laid the plaintiff off from the job. The plaintiff started looking for other employment. Summerhill's winemaker was a sympathetic sort, and he suggested to the plaintiff that he apply for a job at the nearby St. Hubertus Estate Winery. The winemaker promised to give the plaintiff a good reference.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St. Hubertus started its vineyard in the mid-1980s. Its first harvest was 1991. St. Hubertus is owned and operated by two brothers: Andy and Leo Gebert. For the first four years or so of operation, Leo Gebert was the winery's winemaker. In the year 2000, St. Hubertus retained Christine Larue as its winemaker. Ms. Larue worked for St. Hubertus on a consultant basis. She produced good wines, and the Gebert brothers were happy with their product under her tutelage.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April 2008, St. Hubertus was looking to hire a cellar hand. The plaintiff's application for employment arrived at that time. Summerhill's winemaker gave the plaintiff a strong recommendation. St. Hubertus decided to hire the plaintiff as a cellar hand immediately after his first interview. His starting wage was to be the same as he received at Summerhill: $13.50 per hour and he was to have full-time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duties of a winery cellar hand vary depending on the size of the operation, number of layers of responsibility that lie between the winemaker and the labouring staff, and how deeply into the process the winemaker wishes to insert himself. Generally speaking, however, cellar hands do their jobs at the direct bidding of the winemaker. Cellar hands move, lift, shift and clean things. They do not, typically, make strategic decisions such as what kind of wine should be produced from what sort of grape, nor do they make tactical decisions such as how long fermentation should continue or how to correct chemical imbalances in the product.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winemaker, on the other hand, has a senior position in the wine industry. The winemaker makes the significant decisions in the process of turning grape juice into wine. He or she will decide what grapes will be used to produce what wine; whether the grapes need to be blended; when, under what circumstances, and for how long fermentation will proceed; how long the wine should be aged; when it should be bottled; and, to a degree, how the wine should be marketed. A winery gets one shot at making a saleable product from its annual harvest - a mistake that renders the produce unpalatable can be financially ruinous. A winemaker carries a lot of responsibility on his or her shoulders. For these reasons, the winemaker does not remove him or herself from the nitty-gritty of the winemaking process. That is especially so at a small winery like St. Hubertus.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St. Hubertus hired the plaintiff in the first week of May 2008. The plaintiff and the defendant did not reduce the terms of their employment contract to writing. In his first week or so of employment, the plaintiff showed himself to be very capable. The Gebert brothers were impressed by the vigour with which the plaintiff tackled his duties. They quickly decided that the plaintiff should be paid a better wage and they unilaterally and retroactively increased his pay from $13.50 to $19 per hour, plus 4 percent holiday pay.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the time the plaintiff started work for St. Hubertus, its 2009 vintage was in vats or barrels and needed only monitoring until it was bottled. The winery's need for Ms. Larue's services was its seasonally normal low ebb. As the spring of 2008 passed, the plaintiff showed himself to be a very capable cellar hand. He also showed himself to have potential in the more senior position of winemaker. The Gebert brothers decided to give the plaintiff a try as their winemaker. At some undefined point in time but probably in late spring or early summer 2008, St. Hubertus promoted the plaintiff from cellar hand to winemaker. Certainly by mid-summer 2008, at least one wine trade publication noted the plaintiff as the new winemaker at St. Hubertus.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October 2008, St. Hubertus increased the plaintiff's wage from $19 to $20 per hour. In November 2008, he had a further pay rise to $25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reasonably successful in his winemaking efforts. The Gebert brothers were very happy with the plaintiff's work. They thought that he was a dedicated and conscientious employee.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Harvest can be a stressful time for a winery which, as St. Hubertus does, grows its own grapes. Work needs to be done when the general growing season and the daily weather conditions cooperate to allow the grapes to be brought in off the vine. In 2009, St. Hubertus's harvest happened in the first weeks of October. The entire St. Hubertus crew, the plaintiff included, worked steadily during those first two weeks. The pace of work turned out to be too much for the plaintiff, and he decided to take a day off. That decision triggered a series of interactions between the plaintiff and the Gebert brothers; interactions that led to each taking certain attitudes toward the other and which I find culminated in the circumstances that led to this lawsuit.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and the Gebert brothers have different recollections of those interactions. I must therefore assess the credibility of the witnesses to those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Based on the plaintiff's testimony, his presentation as a witness at trial, his psychologist's opinion, his wife's description of the plaintiff's personality, and the Gebert brother's evidence of the plaintiff's deportment and dedication on the job, I find that the plaintiff has a perfectionist personality. The plaintiff cannot be satisfied with things unless every element of his life is ordered and, as important to the plaintiff, an explanation exists for that order. I find that it is very important to the plaintiff that his efforts and achievements be recognized by others. The plaintiff's evidence leads me to conclude that he is very proud of his education and of his level of knowledge of the winemaking process. The plaintiff believes that he is capable of producing top quality wines and wishes to have the opportunity to practice his craft to its fullest.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does, however, have a very thin skin; that is to say: the plaintiff does not react well to criticism, even if it is well-founded. I find that the plaintiff's hypersensitivity to real or imagined criticism or personal slights stems from his belief that he applies himself with complete dedication to whatever task he undertakes. In the result, the plaintiff takes as a personal insult any suggestion that he may have slipped in some aspect of his job performance.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is also emotionally labile when he perceives that he is under criticism. Under criticism, tears come easily to the plaintiff and he loses his normal ability to think and speak in a logical or rational fashion. Under such circumstances, the plaintiff's conversation can become tangential. An example of such disordered thought is the plaintiff's accusation (about which more will be said later) that Andy Gebert told a third party that the plaintiff was an alcoholic. That accusation was completely out-of-context of the conversation that the plaintiff was having with Andy Gebert at the time, and it was made when the plaintiff was emotionally upset. The plaintiff admitted that he could not recall much detail from what all parties testified was a lengthy meeting between the plaintiff and Andy Gebert. For these reasons, and based on my assessment of the plaintiff's presentation on the witness stand, I find that the plaintiff has a diminished capacity to clearly recall events during those emotionally upset and tearful states.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Andy and Leo Gebert impressed me as being dispassionate agricultural businessmen. They have a Swiss heritage. They have been in the business for more than twenty years. They understand and accept their place in the wine industry. St. Hubertus is a small winery that produces on the order of 8,000 to 10,000 cases of wine per year. They have a small workforce. They do not believe that their status as owners insulates them from labouring alongside their employees as required by the winery's needs. I find that the Geberts' management style is to get things done with a minimum of fuss. Neither Andy nor Leo Gebert is prone to loss of emotional control. They have no particular need to be involved in their employees' personal lives. I find that their recollections of events have not been impaired by over-reaction to real or perceived inter-personal conflict.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result, I find that the Gebert brothers' testimony is generally more reliable than the plaintiff's. With one or two minor exceptions, where the two conflict I prefer the evidence of the former.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Turning, then, to the seminal events of October 2009. On October 14th, the plaintiff decided to take the day off work. The winery was just wrapping up the harvest. The plaintiff e-mailed notice of his decision to the Geberts. His e-mail went out at around 7 o'clock that morning. The plaintiff ought to have telephoned the winery instead, using contact numbers prominently displayed by the employee-card punch clock. Because the plaintiff did not use the telephone and because the Geberts commence the work day with an 8 a.m. meeting to plan the day's activities and they do not get to their e-mail until later, the Geberts had no explanation for the plaintiff's unexpected absence from work that day. When the plaintiff showed up at the 8 a.m. meeting the following day, Leo Gebert instructed the plaintiff to come to Leo's office at 8:30 sharp. The plaintiff immediately became upset. His response was confrontational - he told Leo Gebert that if there was an issue, it could be discussed in front of the others at the daily meeting. Leo Gebert disagreed. He said that it was not appropriate to discuss personnel and employment matters in front of everybody. Leo Gebert again told the plaintiff to come to his office at 8:30. The plaintiff continued to argue against having to go to Leo Gebert's office. Eventually Leo Gebert prevailed.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the plaintiff arrived at Leo Gebert's office he was still upset. The plaintiff complained that he did not like Leo Gebert using the word "sharp" in his instruction to come to the office. The plaintiff complained that this was the way to speak to a school boy. Leo Gebert tried to calm the plaintiff and reassured him that he was no doubt under stress as a result of the pressures of harvest time and that it would be best for the plaintiff to go back to his job, complete harvest and discuss matters then. Rather than take that advice, the plaintiff persisted in staying in the office and began to voice a litany of complaints to Leo Gebert. The plaintiff was upset and emotional. His main complaint was that he felt that he was under-appreciated. The plaintiff took his workplace key and laid it on Leo Gebert's desk, saying words to the effect of "you can do with me whatever you want". Leo Gebert again tried to reassure the plaintiff by referring to the stress of the moment and urged the plaintiff to relax, to wait until harvest was over, and to have a discussion then when things are calmer. The plaintiff again did not take that advice. He remained in an emotional state and began to complain that he worked hard for the company but that he was not properly appreciated. He said words to the effect that he wanted to take the winery to the next level. The plaintiff began to cry at this point. The plaintiff's breakdown was awkward for Leo Gebert. In an effort to get him back on an even keel, Leo Gebert asked the plaintiff to put his wishes and dreams for his job on paper and give it to him for further discussion. The plaintiff began to calm down. When the plaintiff was ready to leave his office, Leo Gebert asked him to take the cellar key with him. The plaintiff refused, saying words to the effect that it was up to Leo. Leo Gebert took that to mean that the plaintiff was, in effect, daring him to fire the plaintiff. In the end, the plaintiff left his key behind in Leo Gebert's office and did not retrieve his key for a week or so. This led to some awkwardness at the winery because someone from the office had to go down to the cellar to let the business's most senior employee into his workplace. Eventually, by some means the parties do not now recall, the plaintiff regained possession of his cellar key.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did prepare a letter to St. Hubertus. In it he laid out some demands. Unfortunately the letter is now lost. The parties did meet with one another in late October or early November 2008. In that meeting, they discussed changes that the plaintiff wanted to make. The plaintiff wanted to not have to punch in with the rest of the help at 8 o'clock every morning. The Gebert brothers dismissed that demand. The plaintiff wanted the winery to supply him with a car or provide a vehicle allowance. The Gebert brothers dismissed that request. The plaintiff wanted to be allowed to work from home. The Gebert brothers said no. The plaintiff wanted an allowance in his work day to study trade journals. The Geberts said no. The plaintiff wanted the winery to supply him with a cell phone. The Geberts refused. The brothers' negative responses were based on the fact that St. Hubertus is a small winery. It could not afford to provide a lot of non-wage benefits to its employees, and it was not prepared to agree to terms, such as excusing the plaintiff from punching in on the time clock, which would tend to stratify its workforce.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Ultimately, the meeting came down to money. The plaintiff wanted a raise from $25 to $35 per hour and supported his demand by citing industry standard remuneration rates for winemakers. The Geberts agreed to give the plaintiff a raise of $2 to $27 per hour. They also agreed to pay the plaintiff $40 per hour for consulting work that the plaintiff did under the auspices of St. Hubertus. Up to that point, the plaintiff had been paid his regular hourly wage for consulting at St. Hubertus's bidding and had not taken a larger share of the approximately $90 per hour that St. Hubertus billed others for 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early March 2010, Andy Gebert asked the plaintiff for his choice of four wines St. Hubertus should enter in an upcoming wine competition. Giving such advice was one of the plaintiff's duties as the business's winemaker. The plaintiff did not answer the query directly. Instead, he responded with an e-mail citing six selections if the competition was imminent or five selections if the competition was a few months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mid-March 2010, the plaintiff took a holiday. He traveled to Germany. During his holiday, the plaintiff attended a wine show and a winemaking convention. The plaintiff learned numerous new things at these events; things that he was anxious to tell to the defendant. The plaintiff sent an e-mail to Leo Gebert from Germany expressing enthusiasm for the new vistas that these events had opened for him. The plaintiff shipped half a dozen bottles of wine to the defendant from Germany; he wanted to sample these wines with the defendant so as to educate the defendant about wines produced in other parts of the world. The plaintiff took pains in his testimony to describe these services to St. Hubertus. The plaintiff also took pains in his testimony to say that he did not receive a reply from St. Hubertus to his e-mail, and that the Geberts never mentioned the six bottles of wine.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returned to Canada on April 3 or 4, 2010. He attended at the defendant's winery on April 6th. The plaintiff made a point in his evidence of describing his reception at the winery. One person asked him how his holiday was, but no one else seemed interested in hearing about what he had learned while attending at the wine functions in Germany. In sum, the personnel at the defendant's winery did not show much interest in the plaintiff's holiday and education experiences.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his first day back at work, the plaintiff discovered that while he was away St. Hubertus started some renovations in the wine cellar. Insulation was being installed and some doors were being installed.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the plaintiff felt stung by what he perceived to be his employer's lack of appreciation for how he had spent his holiday and the promise of benefit that his new found knowledge held for the winery. I find that the plaintiff felt hurt by the Geberts' lack of acknowledgment of the e-mail greeting he had sent from Germany or the six bottles of wine he had shipped to St. Hubertus for their tasting and education. I find that the plaintiff began to harbour feelings of resentment over not being adequately appreciated or valued by his employer.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April 7, 2010, the plaintiff started his workday in the cellar. He had to work around the contractor who was doing the renovations in the cellar. At around 8:30 a.m., Andy Gebert telephoned the plaintiff and a conversation took place. As noted, I find that the Geberts' recollections of the events are more reliable than the plaintiff's. I therefore prefer Andy Gebert's testimony about the conversation on the telephone and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telephone, Andy Gebert asked the plaintiff for a direct answer to his earlier question about which four wines the plaintiff would recommend for entry in the upcoming competition. The plaintiff replied that he had answered that question by e-mail. Andy Gebert reviewed the e-mail and told the plaintiff that, no, in fact he had not answered the question, and what he needed from the plaintiff was a recommendation of only four wines. Andy Gebert then asked the plaintiff to arrange a tasting of the wines so that he and Leo Gebert could make the final decision as to which wines would be entered. I find that the plaintiff reacted negatively to this conversation. He became emotional and upset. Instead of arranging a tasting with the winery owners and providing his advice on wines for the competition, the plaintiff left the cellar and, uninvited, went to Andy Gebert's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he arrived at Andy Gebert's office, the plaintiff was emotional and agitated. He made it known to Andy Gebert that he was unhappy about having been asked again which wines should go into the competition. Andy Gebert replied that the plaintiff need not blow things out of proportion and that all he wanted from the plaintiff was a simple answer to the simple question of which four wines should go into the competition. The plaintiff continued to be emotional. Andy Gebert told the plaintiff to leave his office. The plaintiff refused to go. Instead, the plaintiff began to tell Andy Gebert about how hard he had worked for the winery and how successful his efforts had been and to complain about how he was under-valued and unappreciated. He complained about how the cellar renovations interfered with his work. The conversation quickly deteriorated. Andy Gebert again told the plaintiff to leave his office. This time Andy Gebert was more forceful. He told the plaintiff that he was "being a pain in the ass" and to "get the fuck out of my office and go make wine for me". Again, the plaintiff refused to take direction from his employer.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strange turn to which I referred earlier, the plaintiff left off complaining about how he felt he was being treated and suddenly accused Andy Gebert of telling other people that the plaintiff was an alcoholic. Besides being completely off-topic, the plaintiff had no grounds for suspecting, much less believing, that the accusation was true. That he made the accusation during this conversation is evidence of the plaintiff's tendency to disordered and illogical thinking under emotionally charged circumstances. After making this accusation, the plaintiff's emotional control failed him. He dissolved into tears. Although Andy Gebert was frustrated and angry over the plaintiff's persistence in voicing his complaints and thus keeping both the plaintiff and himself from their proper duties, he took a gentler tone when the plaintiff started crying. He tried to calm and reassure the plaintiff. He told the plaintiff not to worry, that he would not tell anyone about the crying jag. The plaintiff did not accept that reassurance and asserted that Andy Gebert would tell his wife about it nonetheless. At this, Andy Gebert lost patience with the plaintiff. He told the plaintiff that if the plaintiff was not prepared to take his word over this and if the plaintiff was so unhappy in his position, then perhaps the plaintiff should go look for another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response to that, the plaintiff took his cellar keys out of his pocket and laid them on Andy Gebert's desk. The plaintiff said words the effect of which was an invitation to Andy Gebert to fire him. Andy Gebert again told the plaintiff to get out of his office. The plaintiff reached out to shake Andy Gebert's hand and, smiling, said words to the effect of "good luck making wine". The plaintiff left the office and walked down to the wine cellar. Leo Gebert saw the plaintiff wearing a big smile on his face as he walked away from the office. The plaintiff gathered his personal effects from his space in the wine cellar, got in his car and left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did not adduce any evidence to substantiate his complaints that he was under-valued and unappreciated at the winery. In fact, the opposite is true: the Gebert brothers were impressed by the plaintiff's work, liked the product that he made, and, as evidenced by the raises they gave to the plaintiff, were prepared to pay him for his efforts.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Andy and Leo Gebert discussed the plaintiff's behaviour later that day. Andy Gebert described the plaintiff as having had "another of his hissy fits". When the brothers learned that the plaintiff had left the property, they began to wonder if the plaintiff was serious in his wish to leave the winery's employment. At around 2:30 that afternoon, Andy Gebert sent an e-mail to the plaintiff. The e-mail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Hi Hooman</w:t>
      </w:r>
    </w:p>
    <w:p>
      <w:pPr>
        <w:spacing w:before="120" w:line="260" w:lineRule="atLeast"/>
        <w:ind w:left="720"/>
        <w:rPr>
          <w:lang w:val="en-US" w:eastAsia="en-US" w:bidi="ar-SA"/>
        </w:rPr>
      </w:pPr>
      <w:r>
        <w:rPr>
          <w:rFonts w:ascii="arial" w:eastAsia="arial" w:hAnsi="arial" w:cs="arial"/>
          <w:color w:val="000000"/>
          <w:sz w:val="20"/>
          <w:lang w:val="en-US" w:eastAsia="en-US" w:bidi="ar-SA"/>
        </w:rPr>
        <w:t>I just like to recap this morning's discussion in regards of your position at our winery.</w:t>
      </w:r>
    </w:p>
    <w:p>
      <w:pPr>
        <w:spacing w:before="120" w:line="260" w:lineRule="atLeast"/>
        <w:ind w:left="720"/>
        <w:rPr>
          <w:lang w:val="en-US" w:eastAsia="en-US" w:bidi="ar-SA"/>
        </w:rPr>
      </w:pPr>
      <w:r>
        <w:rPr>
          <w:rFonts w:ascii="arial" w:eastAsia="arial" w:hAnsi="arial" w:cs="arial"/>
          <w:color w:val="000000"/>
          <w:sz w:val="20"/>
          <w:lang w:val="en-US" w:eastAsia="en-US" w:bidi="ar-SA"/>
        </w:rPr>
        <w:t>As discussed we have to plan your departure from our company in order to clean up all the loose ends.</w:t>
      </w:r>
    </w:p>
    <w:p>
      <w:pPr>
        <w:spacing w:before="120" w:line="260" w:lineRule="atLeast"/>
        <w:ind w:left="720"/>
        <w:rPr>
          <w:lang w:val="en-US" w:eastAsia="en-US" w:bidi="ar-SA"/>
        </w:rPr>
      </w:pPr>
      <w:r>
        <w:rPr>
          <w:rFonts w:ascii="arial" w:eastAsia="arial" w:hAnsi="arial" w:cs="arial"/>
          <w:color w:val="000000"/>
          <w:sz w:val="20"/>
          <w:lang w:val="en-US" w:eastAsia="en-US" w:bidi="ar-SA"/>
        </w:rPr>
        <w:t>We hope this should be possible within the next 4 weeks.</w:t>
      </w:r>
    </w:p>
    <w:p>
      <w:pPr>
        <w:spacing w:before="120" w:line="260" w:lineRule="atLeast"/>
        <w:ind w:left="720"/>
        <w:rPr>
          <w:lang w:val="en-US" w:eastAsia="en-US" w:bidi="ar-SA"/>
        </w:rPr>
      </w:pPr>
      <w:r>
        <w:rPr>
          <w:rFonts w:ascii="arial" w:eastAsia="arial" w:hAnsi="arial" w:cs="arial"/>
          <w:color w:val="000000"/>
          <w:sz w:val="20"/>
          <w:lang w:val="en-US" w:eastAsia="en-US" w:bidi="ar-SA"/>
        </w:rPr>
        <w:t>Please let us know if this will work for you or if you will leave us before this time?</w:t>
      </w:r>
    </w:p>
    <w:p>
      <w:pPr>
        <w:spacing w:before="120" w:line="260" w:lineRule="atLeast"/>
        <w:ind w:left="720"/>
        <w:rPr>
          <w:lang w:val="en-US" w:eastAsia="en-US" w:bidi="ar-SA"/>
        </w:rPr>
      </w:pPr>
      <w:r>
        <w:rPr>
          <w:rFonts w:ascii="arial" w:eastAsia="arial" w:hAnsi="arial" w:cs="arial"/>
          <w:color w:val="000000"/>
          <w:sz w:val="20"/>
          <w:lang w:val="en-US" w:eastAsia="en-US" w:bidi="ar-SA"/>
        </w:rPr>
        <w:t>Failure to respond by April 9, 2010 12:00 noon will let us to believe that you have already resigned your position at our winery.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reacted by retaining counsel. The plaintiff told his counsel an inaccurate version of the meeting he had had with Andy Gebert. Counsel wrote to St. Hubertus containing that inaccurate version. That letter made it clear that the plaintiff believed that St. Hubertus had terminated his employment contract. The letter also made it clear that the plaintiff would not return to work at the winery. A short time later, St. Hubertus gave the defendant $1,803.65 by way of severance pay.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mood quickly deteriorated after April 7, 2010. I find that between the middle of April and December 2010, the plaintiff suffered from a major depressive episode. I find that his depression was caused by the fact that he lost his job at St. Hubertus, the fact that he was unable to find another winemaker job despite applying to numerous potential employers, the fact that he was unable to financially support his wife's wish to move to Vancouver to study nursing and the fact that he had little insight into how it was that he was no longer working at St. Hubertus. The plaintiff ruminated on the latter issue. He could not bring himself to understand what it was that he had done wrong that lead to his losing his job. The plaintiff could not accept that anything he had done had caused or contributed to the end of his employment. The mystery of it weighed heavily on the plaintiff. I find that the manner of the plaintiff's leaving his job did not cause or contribute to the plaintiff's depression. Instead, it was the fact of unemployment and feelings of worthlessness that flowed from his unemployment coupled with his lack of insight that caused the plaintiff's depressed mood.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wife was determined to pursue her nursing studies in Vancouver. She and the plaintiff moved to Vancouver in September 2010. The plaintiff continued to look for employment. By my count of the contacts recorded on Exhibit 8 of the evidence, the plaintiff made 57 unique applications for wine-related positions. In October 2010, the plaintiff was twice interviewed by a potential employer called the Compass Group. The plaintiff was excited by the prospect of full-time work with the Compass Group. I find that the plaintiff would not have pursued those interviews, and he would not have been given a second interview, had he then been so depressed as to be incapable of full-time work. I find that by the end of October 2010, the plaintiff's mood was not normal, but that he was nevertheless capable of working full-time. Unfortunately, the Compass Group's project fell victim to the economy, and it was unable to hire the plaintiff. That disappointment caused the plaintiff to suffer a several week breakdown.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Fortunately, in December 2010 the plaintiff secured full-time employment as a winemaker at a small winery on Saturna Island. His mood immediately improved. The depression that the plaintiff experienced during his unemployment abated, but he has been left with an anxiety adjustment disorder. His mood is more fragile now. His psyche is less robust, and he is more prone now to emotional breakdown in the face of adversity than was the case before April 2010. I find that the plaintiff would benefit from ongoing psychological counselling, and I accept the plaintiff's psychologist's recommendation that he take 12 counselling sessions at a cost of $2,100.</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Parties' Positions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maintains that Andy Gebert repeatedly swore at him during the April 7, 2010 meeting. In addition to being told to "get the fuck out of my office and go make wine for me" and that he was "a pain in the ass", the plaintiff maintains that ultimately Andy Gebert said words to the effect of "leave your keys and get the fuck out of my office". The plaintiff argues by the use of this language Andy Gebert was disrespectful and insulting to him. He says that being told to leave his keys on the desk and get out of the office was the same as being told that he was fired. According to the plaintiff, the three swear words directed at him caused him to fall into depression. He argues that absent those swear words he would not have felt a loss of dignity.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says that he was fired on April 7, 2010 and that, in the absence of notice or reason, he is entitled to damages equivalent to six to nine months' salary. The plaintiff says that the manner of his firing was unduly insensitive and that he is entitled to damages for his loss of dignity and the depression he subsequently experienced. The plaintiff argues that Andy Gebert committed the tort of intentional infliction of psychological harm and is liable to the plaintiff for general damages on the order $60,000 plus special damages and cost of future care. Finally, the plaintiff claims punitive damages on the theory that the defendant's behaviour was so outrageous as to merit punishment.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argues that the plaintiff quit his job when he left his keys on Andy Gebert's desk, said to Mr. Gebert "good luck making wine", shook Mr. Gebert's hand, and drove off the property. Having resigned, the plaintiff is not, according to the defendant, entitled to damages on any theory.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says in the alternative that if it did fire the plaintiff, the manner of his firing was not unduly insensitive, was not done with the intent to harm the plaintiff, and was not carried out in an outrageous fashion. The defendant says that if the plaintiff is entitled to damages at all, they must be limited to four to six months'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Terms of the Employment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parties did not reduce the plaintiff's employment contract to writing. They did, however, come to some expressed terms. As of April 7, 2010, the parties had agreed that the plaintiff should have full-time work as a winemaker. His duties were to oversee the production of the defendant's wines. The plaintiff was to provide advice concerning the type of wines the defendant should make and was responsible to ensure that the wines were of at least good quality. The plaintiff was also responsible to train and oversee other staff who worked in the cellar. The defendant agreed to pay the plaintiff $27 per hour for regular work and $40 per hour for consulting work carried out on St. Hubertus's behalf. The plaintiff was to receive 4 percent holiday pay.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An implied term of the contract was that the defendant would provide the plaintiff with reasonable notice or pay in lieu of notice if the defendant wished to terminate the plaintiff's employment contract without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When the employment contract was made, the plaintiff did not alert the defendant to his emotional lability.</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Termination or Resignation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order for an employee's resignation to be effective, the resignation must meet the objective test of the disinterested and reasonable observer. Would such an observer conclude from the employee's words and actions that the employee had irrevocably quit his or her job? Would that observer conclude that the employer had accepted the resignation as an end to their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exchange between the plaintiff and Andy Gebert on April 7, 2010, was equivocal as it related to the issue of resignation or termination. I find that the plaintiff wanted the defendant to be more effusive in its praise of the plaintiff's efforts and to be more deferential to his opinion. Daring Leo Gebert to fire him had worked to a limited degree for the plaintiff in the past; I find that by leaving his keys on the desk and by saying words to the effect of "good luck making wine" the plaintiff was trying the same gambit on April 7th. Quitting the property that day showed extremely poor judgment on the plaintiff's part, but a reasonable observer would see that action as simply another element of his strategy. I find that the plaintiff's words and actions that day did not amount to an unequivocal expression of resignation from his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Equally, Andy Gebert's words and actions during the April 7th meeting were not intended to be and did not amount to termination of the plaintiff's employment. Andy Gebert was entitled to instruct the plaintiff to leave his office that day. His use of the word "fuck" was not personally directed at the plaintiff in the sense that Andy Gebert was telling the plaintiff that he was worthless or not deserving of basic dignity. Instead, Andy Gebert used that profanity to emphasize his instruction, as in "do not waste time by lingering here where you were not invited to be, go do your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the other hand, I find that his saying to the plaintiff that the plaintiff was a pain in his ass was personally directed to the plaintiff. A reasonable observer, knowing that the plaintiff was persisting in occupying the office and voicing a litany of complaints about being unappreciated would, in my view, have agreed with Andy Gebert that at that moment the plaintiff was, in fact, being a pain in the ass. The plaintiff, had he been thinking and behaving rationally rather than emotionally, would likely have acknowledged that his behaviour was likely to annoy his employer. Under the circumstances of the time and place, I do not consider that Andy Gebert saying to the plaintiff that he was a pain in the ass should not have been taken by the plaintiff as anything more than an indirect instruction to leave off his complaints and get back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Finally, a reasonable disinterested observer would not have taken Andy Gebert's comment to the plaintiff that if he was so unhappy at St. Hubertus perhaps he should find a job somewhere else as termination of the employment contract. Again, under the circumstances of the time and place, an observer would take that comment as having been said in the heat of the moment and intended to encourage the plaintiff to think rationally about his complaints and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Andy Gebert's words and actions on April 7th when taken separately did not amount to a firing, did they nevertheless cumulatively amount to a constructive dismissal? The relevant factors are Andy Gebert's use of profanity to emphasize his instructions, his characterizing the plaintiff's behaviour in the meeting as a pain in the ass, and his acknowledgment that if the plaintiff was unhappy he could look for a different job. These were all made in the course of a heated and emotional verbal exchange between two adult men. What happened at the meeting between the plaintiff and Andy Gebert was a "clearing of the air". The plaintiff aired his grievance that the winery was not fawning over him sufficiently. Andy Gebert aired his view that the plaintiff should stop whining and get back to work. Crucially, nothing that lead up to the meeting or at the meeting itself materially affected the plaintiff's job title, the scope of his responsibilities and duties as St. Hubertus's winemaker, or had an effect on his pay packet. That is to say: the plaintiff's job at the winery was the same after the meeting as it was before. I find that the overall effect of the meeting between the plaintiff and Andy Gebert that day was not to constructively dismiss the plaintiff from his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therefore, that when the meeting on April 7th ended, the plaintiff had not resigned and the defendant had not fired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e-mail to the plaintiff later in the day on April 7th did, however, change the parties' relationship. Had St. Hubertus genuinely wanted the plaintiff to continue to work as its winemaker, that e-mail would have referred to the earlier conversation, would have acknowledged the ambiguity of the parties' positions when the meeting ended, and would have invited the plaintiff to return to the winery to iron out their differences. Instead, the e-mail spoke unequivocally of the parties' working relationship coming to an end. The e-mail made no offer of, and left no room for the plaintiff to participate in, rapprochement. A reasonable observer, knowing what had passed between the parties earlier in the day, would have viewed the e-mail as a communication of the defendant's decision to no longer put up with the plaintiff's behaviour. The e-mail terminated the plaintiff's contract of employment with the defendant. The defendant did not assert that it had legal cause to fire the plaintiff. It follows that the defendant failed to provide the plaintiff with adequate notice of his firing, that failure was a breach of an implied term of the employment contract, and the plaintiff is entitled to damages for that breach.</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Notice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described the plaintiff's duties and responsibilities as the defendant's winemaker. The plaintiff was in the defendant's service for 23 months. The plaintiff is young but his skills lie in a specialized and narrow field. It took him eight months to find a new position as a winemaker. Given these factors, I consider that the proper period of notice that the defendant ought to have given to the plaintiff is eight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pay information shows that in the 24 pay periods between December 1, 2008 and November 30, 2009, the plaintiff worked at total of 1,704 hours. That is an average of 71 hours per pay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pay slips also show that during the seven pay periods after the plaintiff's pay rise in November 2009, he worked a total of 447 hours at his regular job and that he consulted for a total of 40 hours. During that time, he therefore averaged 64 hours per pay period in his normal position and 5.7 hours in his consulting capacity. These data show that the plaintiff's consulting work did not add to his weekly hours of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Extrapolated on an annual basis, these data predict that in 2010 the plaintiff would have worked 1,536 hours at $27 per hour and 264 hours at $40 per hour. That pace would have generated an annual income of $46,860 plus 4 percent holiday pay, giving the plaintiff a total annual wage of $48,735 or $4,061 per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argued that plaintiff failed to mitigate his damages by declining the defendant's offer of four weeks' work to tie up loose ends at the winery and by not applying for a job at every single one of the 200-odd wineries in the Okanagan Valley. I do not find these arguments convincing. In the first place, it was the defendant that fired the plaintiff, and it was clear that the plaintiff had some gripes about working for the defendant. Whether the plaintiff's complaints were well-founded or not, the fact remains that he would have been a disgruntled fellow. It would be strange for the defendant to want such a person in charge of its wine production, and it would be strange to require the plaintiff to work under those circumstances. In the second place, the plaintiff applied for employment to those wineries that he had reason to believe might offer him a job. He was only required to act reasonably in his job search - the law does not require him to apply for jobs where there was no reason to believe a position was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is entitled to an award of damages of eight months at $4,061 per month less the $1,803.65 he received after he was fired, plus court order interest.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Moral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seeks moral damages on the theory that the manner of his dismissal caused him to suffer mental distress.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An implied term of any employment contract is that when it comes to termination of the contract, the employer owes the employee the duty to act in good faith and engage in fair dealing in the manner of dismissal. According to the Supreme Court of Canada's decision in </w:t>
      </w:r>
      <w:r>
        <w:rPr>
          <w:rFonts w:ascii="arial" w:eastAsia="arial" w:hAnsi="arial" w:cs="arial"/>
          <w:i/>
          <w:color w:val="000000"/>
          <w:sz w:val="20"/>
          <w:lang w:val="en-US" w:eastAsia="en-US" w:bidi="ar-SA"/>
        </w:rPr>
        <w:t>Honda Canada Inc. v. Keays</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2008 SCC 39</w:t>
        </w:r>
      </w:hyperlink>
      <w:r>
        <w:rPr>
          <w:rFonts w:ascii="arial" w:eastAsia="arial" w:hAnsi="arial" w:cs="arial"/>
          <w:color w:val="000000"/>
          <w:sz w:val="20"/>
          <w:lang w:val="en-US" w:eastAsia="en-US" w:bidi="ar-SA"/>
        </w:rPr>
        <w:t xml:space="preserve"> at para. 57: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Damages resulting from the manner of dismissal must then be available only if they result from the circumstances describe in </w:t>
      </w:r>
      <w:r>
        <w:rPr>
          <w:rFonts w:ascii="arial" w:eastAsia="arial" w:hAnsi="arial" w:cs="arial"/>
          <w:i/>
          <w:color w:val="000000"/>
          <w:sz w:val="20"/>
          <w:lang w:val="en-US" w:eastAsia="en-US" w:bidi="ar-SA"/>
        </w:rPr>
        <w:t>Wallace</w:t>
      </w:r>
      <w:r>
        <w:rPr>
          <w:rFonts w:ascii="arial" w:eastAsia="arial" w:hAnsi="arial" w:cs="arial"/>
          <w:color w:val="000000"/>
          <w:sz w:val="20"/>
          <w:lang w:val="en-US" w:eastAsia="en-US" w:bidi="ar-SA"/>
        </w:rPr>
        <w:t>, namely where the employer engages in conduct during the course of dismissal that is "unfair or is in bad faith by being, for example, untruthful, misleading or unduly insensitive" (para 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court went on to describe the kinds of behaviour that could give rise to a claim for moral damages. In </w:t>
      </w:r>
      <w:r>
        <w:rPr>
          <w:rFonts w:ascii="arial" w:eastAsia="arial" w:hAnsi="arial" w:cs="arial"/>
          <w:i/>
          <w:color w:val="000000"/>
          <w:sz w:val="20"/>
          <w:lang w:val="en-US" w:eastAsia="en-US" w:bidi="ar-SA"/>
        </w:rPr>
        <w:t>Honda</w:t>
      </w:r>
      <w:r>
        <w:rPr>
          <w:rFonts w:ascii="arial" w:eastAsia="arial" w:hAnsi="arial" w:cs="arial"/>
          <w:color w:val="000000"/>
          <w:sz w:val="20"/>
          <w:lang w:val="en-US" w:eastAsia="en-US" w:bidi="ar-SA"/>
        </w:rPr>
        <w:t xml:space="preserve"> at para. 59,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Examples of conduct in dismissal resulting in compensable damages are attacking the employee's reputation by declarations made at the time of dismissal, misrepresentation regarding the reason for the decision, or dismissal meant to deprive the employee of a pension benefit or other right, permanent status, for instance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Not every dismissal can bottom moral damages. In </w:t>
      </w:r>
      <w:r>
        <w:rPr>
          <w:rFonts w:ascii="arial" w:eastAsia="arial" w:hAnsi="arial" w:cs="arial"/>
          <w:i/>
          <w:color w:val="000000"/>
          <w:sz w:val="20"/>
          <w:lang w:val="en-US" w:eastAsia="en-US" w:bidi="ar-SA"/>
        </w:rPr>
        <w:t>Honda</w:t>
      </w:r>
      <w:r>
        <w:rPr>
          <w:rFonts w:ascii="arial" w:eastAsia="arial" w:hAnsi="arial" w:cs="arial"/>
          <w:color w:val="000000"/>
          <w:sz w:val="20"/>
          <w:lang w:val="en-US" w:eastAsia="en-US" w:bidi="ar-SA"/>
        </w:rPr>
        <w:t>, at para. 56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contract of employment is, by its very terms, subject to cancellation on notice or subject to payment of damages in lieu of notice without regard to the ordinary psychological impact of that decision. At the time of the contract was formed, there would not ordinarily be contemplation of psychological damage resulting from the dismissal since the dismissal is a clear legal possibility. The normal distress and hurt feelings resulting from dismissal are not compensable.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present case when the parties entered into the employment contract, the plaintiff did not alert the defendant to his having any particular psychological fragility or a special susceptibility to emotional upset if he was fired without notice or cause. I find that the defendant could not have reasonably known that the plaintiff would suffer a mental disorder if he was dismissed from his job and was unable to immediately find another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the issue of moral damages, the question in this case then becomes whether the defendant's conduct in the course of the dismissal was unfair or in bad faith? Unfairness in this context must mean something more than the unfairness of the plaintiff wanting and needing his job on one side, and of the defendant having the capacity to keep him on the job but refusing to do so on the other side. The unfairness that is inherent in that power imbalance is present in virtually all employment situations; if that were all that is required to found a claim for moral damages, virtually every firing would be followed by a successful claim for mental upset.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other avenue to a claim for moral damage is for the plaintiff to show that the manner of dismissal was done in bad faith. In </w:t>
      </w:r>
      <w:r>
        <w:rPr>
          <w:rFonts w:ascii="arial" w:eastAsia="arial" w:hAnsi="arial" w:cs="arial"/>
          <w:i/>
          <w:color w:val="000000"/>
          <w:sz w:val="20"/>
          <w:lang w:val="en-US" w:eastAsia="en-US" w:bidi="ar-SA"/>
        </w:rPr>
        <w:t>Honda</w:t>
      </w:r>
      <w:r>
        <w:rPr>
          <w:rFonts w:ascii="arial" w:eastAsia="arial" w:hAnsi="arial" w:cs="arial"/>
          <w:color w:val="000000"/>
          <w:sz w:val="20"/>
          <w:lang w:val="en-US" w:eastAsia="en-US" w:bidi="ar-SA"/>
        </w:rPr>
        <w:t>, the court said that exemplars of bad faith include the employer being untruthful, misleading or unduly insensitive.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present case, I cannot find that the manner of the plaintiff's dismissal was unfair or unduly insensitive. The plaintiff had taken up approximately two hours of Andy Gebert's time whining about being under-appreciated, had cried and ignored his employer's instruction to go back to his job. The plaintiff's parting words to Andy Gebert were "good luck making wine" and then he left the property. This was not unlike the tantrum that the plaintiff had thrown in October of the previous year. Under those circumstances, it was not unfair for the defendant to have decided that it had had enough of the plaintiff and that it was time for him to get out of his office. Given that the plaintiff had driven away from the winery, and given that the plaintiff and the defendant had used e-mail for work-related communications in the past, it was not unduly insensitive for the defendant to have sent its dismissal notice to the plaintiff by e-mail.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however, that the content of the dismissal notice was not precisely truthful and that it was in some respects misleading. I have come to that conclusion because when the parties separated at the end of the April 7, 2010 meeting, neither party could reasonably have concluded that the meeting had culminated in an end to the plaintiff's employment. A reasonable person observing the events would have understood that the plaintiff was emotionally unbalanced and was not thinking rationally. Things he said and did in that office were not necessarily things that he would have said and done had he been on an even mental keel. By the same token, a reasonable observer would not have considered Andy Gebert's use of profanity as anything more than an expression of exasperation at the plaintiff's behaviour and an emphasis to his instruction to the plaintiff to go back to his duties without further delay. A reasonable observer would not have concluded that when the meeting ended, Andy Gebert had fired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content of the April 7, 2010 e-mail that the defendant sent to the plaintiff did not, therefore, reflect the truth of the situation. Even though the plaintiff had left his keys in the office, had wished Andy Gebert good luck and had left the property, he had nevertheless not unequivocally resigned from his job. The April 7th e-mail, however, clearly conveys a message that the plaintiff had given his notice to quit. In short: the plaintiff, who did not want to quit, was being told by his employer's e-mail that he had quit. As such, the message of the e-mail was not 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While the e-mail was not strictly accurate, I cannot find that the defendant intended to mislead the plaintiff by it. The defendant was wrong about whether the plaintiff had quit, but the defendant's error was an honest mistake.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Should moral damages flow from an honest mistake? In my opinion they should not. I have come to that conclusion because the criteria for an award of moral damages have about them a tenor of intentional culpability on the employer's part. That is to say, for moral damages to flow, the employee must show that the employer effected bad faith by means of an intentional effort to, for example, mislead the employee. A rough and perhaps not particularly apt analogue of this may be the difference between common garden-variety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lacks the mental element to attract criminal liability and reckless disregard which does have that necessary mental element.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present case, the plaintiff's behaviour was such as to lead the defendant to have the honest but mistaken belief that the plaintiff had quit his job. The e-mail that the defendant sent to the plaintiff was born of that belief. In sending the e-mail, the defendant did not intend to harm or upset the plaintiff, nor was the defendant reckless as to whether the plaintiff would be offended by it. The e-mail may not have been an olive branch, but neither was it a baseball bat.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these reasons, the plaintiff's claim for moral damages cannot succeed.</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Intentional Infliction of Mental Distress and 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the reasons set out above, I find that the plaintiff has not shown that the defendant acted maliciously or in an outrageous fashion towards him. The plaintiff's claims for damages consequent to the tort of intentional infliction of mental distress and for punitive damages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is entitled to an award of damages in the net sum of $30,684.35 plus court order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Subject to the parties' submissions with respect to pre-trial settlement offers, the plaintiff is entitled to his costs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 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Robinson v. MacDougall, [2006] B.C.J. No. 3251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 and 28, 2006 (New Westminster).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S16202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2006 BCSC 1875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154 A.C.W.S. (3d) 596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Jason Garret Robinson, Plaintiff, and Roderick David MacDougall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4"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9" w:name="Keywords_40"/>
      <w:bookmarkEnd w:id="259"/>
      <w:r>
        <w:rPr>
          <w:rFonts w:ascii="arial" w:eastAsia="arial" w:hAnsi="arial" w:cs="arial"/>
          <w:b/>
          <w:color w:val="000000"/>
          <w:sz w:val="20"/>
          <w:lang w:val="en-US" w:eastAsia="en-US" w:bidi="ar-SA"/>
        </w:rPr>
        <w:t>Damages — Exemplary or punitive damages — When available — Assessment of damages for sexual assault — Plaintiff sexually assaulted by defendant prison guard — Plaintiff awarded $10,000 in punitive damages — Assault materially contributed to some of plaintiff's psychological injuries, including tendency to hide behind drugs, symptoms of stress and anxiety — Plaintiff's pre-existing life situation and experiences created measurable risk that he would have suffered some emotional and psychological problems in future in any event.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Sexual assault — Assessment of damages for sexual assault — Plaintiff sexually assaulted by defendant prison guard — Plaintiff awarded $55,000 in damages — Assault materially contributed to some of plaintiff's psychological injuries, including tendency to hide behind drugs, symptoms of stress and anxiety — Plaintiff's pre-existing life situation and experiences created measurable risk that he would have suffered some emotional and psychological problems in future in any event.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Psychological injuries — Emotional distress — Age of claimant — 36 to 43 — Non-pecuniary award — $20,001 to $40,000 — Considerations impacting on award — Miscellaneous — Assessment of damages for sexual assault — Plaintiff sexually assaulted by defendant prison guard — Plaintiff awarded $40,000 in general damages — Assault materially contributed to some of plaintiff's psychological injuries, including tendency to hide behind drugs, symptoms of stress and anxiety — Plaintiff's pre-existing life situation and experiences created measurable risk that he would have suffered some emotional and psychological problems in future in any event.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0" w:name="Case Summary_37"/>
            <w:bookmarkEnd w:id="2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for sexual assault -- Plaintiff was sexually assaulted by defendant corrections officer -- Plaintiff obtained default judgment against defendant -- Plaintiff was 18 years old and inmate at corrections facility at time of assault -- Plaintiff convicted of manslaughter -- Circumstances of offence, the trial, conviction and sentence were traumatic for plaintiff -- Plaintiff was young, frightened and vulnerable at time of imprisonment -- Defendant offered to make life in prison easier for plaintiff if he allowed defendant to perform fellatio on plaintiff -- Plaintiff agreed -- No further occurrences with defendant -- Plaintiff had several traumatic experiences as a child and was sexually assaulted -- Plaintiff began using drugs at age 11 -- Plaintiff had been male prostitute since age 15 -- Plaintiff claimed assault by defendant caused him psychological injuries, trauma and inability to trust people and contributed to lengthy prison stay -- HELD: Action allowed in part -- Plaintiff awarded general and aggravated damages of $40,000 -- Costs of future counselling in amount of $5,000 awarded -- Punitive damages of $10,000 awarded -- Claim for past loss of income dismissed -- Assault materially contributed to some of plaintiff's psychological injuries, including tendency to hide behind drugs, symptoms of stress and anxiety -- Plaintiff's pre-existing life situation and experiences created measurable risk that he would have suffered some emotional and psychological problems in future in any event -- Defendant used his position of authority over plaintiff within prison system to sexually manipulate him for personal ends -- Plaintiff's use of drugs would have progressed and his ability to be vocationally successful would have been affected even if the assault had not occurred -- No clear causal connection between plaintiff's time in jail and assault -- Causal connection between assault and plaintiff's need for on-going counseling established.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1" w:name="Counsel_40"/>
      <w:bookmarkEnd w:id="2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5"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D.B. Adair,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HMTQ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defendant R.D. MacDougall: K.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2" w:name="Judgment_40"/>
      <w:bookmarkEnd w:id="262"/>
      <w:r>
        <w:pict>
          <v:line id="_x0000_s1216" style="position:absolute;z-index:2518026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3" w:name="FISHER J."/>
            <w:bookmarkEnd w:id="263"/>
            <w:r>
              <w:rPr>
                <w:rFonts w:ascii="arial" w:eastAsia="arial" w:hAnsi="arial" w:cs="arial"/>
                <w:b/>
                <w:color w:val="000000"/>
                <w:sz w:val="30"/>
                <w:lang w:val="en-US" w:eastAsia="en-US" w:bidi="ar-SA"/>
              </w:rPr>
              <w:t>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July 1981, Jason Robinson was sexually assaulted by a corrections officer at the Lower Mainland Regional Correctional Centre, known as Oakalla. The corrections officer was the defendant, Roderick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one of many civil actions brought against Mr. MacDougall and his former employer, the provincial Crown, arising from allegations of sexual assault. There were previous criminal proceedings as well. In November 2000, Mr. MacDougall was found guilty on nine counts involving indecent and sexual assaults of five individuals between 1980 and 1991. He was ultimately sentenced to four years imprisonment and has served this sentence. The plaintiff testified against Mr. MaDougall at the criminal trial, but none of the convictions related to 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MacDougall took no part in these proceedings, and the plaintiff has obtained a default judgment against him, with damages to be assessed. The Crown has admitted that it is vicariously liable for the sexual assault. This trial involved only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 in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43 years old. In July 1981, when he was 18, he was convicted of manslaughter. He was sent to Oakalla on July 21, 1981, and was there for one month while awaiting placement in a federal penitentiary. It was during this time that he was sexually assaulted by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After his manslaughter conviction, the plaintiff was sentenced to ten years imprisonment. This was later reduced on appeal to five years. The offence was described this way by the Court of Appeal in </w:t>
      </w:r>
      <w:r>
        <w:rPr>
          <w:rFonts w:ascii="arial" w:eastAsia="arial" w:hAnsi="arial" w:cs="arial"/>
          <w:b/>
          <w:i/>
          <w:color w:val="000000"/>
          <w:sz w:val="20"/>
          <w:lang w:val="en-US" w:eastAsia="en-US" w:bidi="ar-SA"/>
        </w:rPr>
        <w:t>R. v. Robinson</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[1982] B.C.J. No. 1175</w:t>
        </w:r>
      </w:hyperlink>
      <w:r>
        <w:rPr>
          <w:rFonts w:ascii="arial" w:eastAsia="arial" w:hAnsi="arial" w:cs="arial"/>
          <w:color w:val="000000"/>
          <w:sz w:val="20"/>
          <w:lang w:val="en-US" w:eastAsia="en-US" w:bidi="ar-SA"/>
        </w:rPr>
        <w:t xml:space="preserve"> at paras. 3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very briefly stated, were that Robinson, then aged seventeen, had visited the deceased in the apartment of the deceased. The deceased was seventy-two years of age. Over the period of approximately one year before the commission of the crime the deceased and Robinson had had a relationship of a homosexual nature. It is of significance to the facts of the case that the activity between the deceased and the accused was one in which, for the payment of money, Robinson permitted the deceased to commit an act of fellatio.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February 4th in the evening of that day Robinson and a friend had gone to the apartment of the deceased for the purpose, according to Robinson in his testimony, of collecting some money owing to Robinson. The male friend and Robinson testified that the deceased made advances to the friend and that caused the friend to leave the apartment leaving Robinson and the deceased together. The length of time is somewhat uncertain, but it developed that Robinson agreed to an act of fellatio and for that purpose had dressed in some clothing provided by the deceased. The deceased apparently hid some of the clothes of Robinson and a struggle ensued when the deceased wished to have anal intercourse with Robinson. Robinson had, at the age of fourteen or fifteen, been the object of a sexual assault by a male and in his evidence indicated that the persistence of the deceased to that end, of anal intercourse brought about a revulsion; there was a blow struck by the deceased and this was met by two blows by Robinson using a part of a handle of a vacuum cleaner. The blows caused a wound of some nature to the head of the deceased rendering him at least dazed, and in that state Robinson applied a towel to the neck of the deceased. Robinson's evidence was that he held the towel there until the deceased was immobile. In fact, the towel in its application was sufficient to cause the death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set out the circumstances of the plaintiff's offence in some detail, as I consider it to be relevant to his state of mind when he came to Oakalla on July 21, 1981, four days after he was sentenced to ten years in prison. This was the plaintiff's first time in a correctional facility. He had no adult criminal record. He had been on probation as a youth for several theft-related offences in 1979, but that was the extent of his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experience as a male prostitute began when he was about 15 years old. He was living in a group home, and he learned that one of his roommates was earning $100 for having a customer perform fellatio on him. Surprisingly, the plaintiff was working at two legitimate jobs at the time. However, he testified that he decided to engage in this form of prostitution when he needed money. He did not do it often, but for a period of several years, he had a small number of clients. The acts were "pretty much always the same thing - they would give me blow jobs." He kept these activities a secret.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manslaughter conviction stemmed from a session with one of his clients that unfortunately escalated into a fight after the client wanted the plaintiff to engage in anal sex. The entire event - the circumstances of the offence, the trial, the conviction and the sentence - was obviously traumatic for the plaintiff. At age 18, he found himself in Oakalla prison, waiting to be transferred to a federal institution for what was then a ten-year sentence. He was young, frightened and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the plaintiff first arrived at Oakalla on July 21, 1981, he had an altercation with two guards over the use of the telephone. He thought one of the guards had set him up for this. He was not off to a good start. However, another guard took him to the south wing, which was apparently a more desirable place to be within the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Within a day or so, the plaintiff met Mr. MacDougall, who introduced himself as "classification". The plaintiff went with Mr. MacDougall to his office in the west wing. Mr. MacDougall appeared to know about the circumstances of the plaintiff's case, and he asked the plaintiff about himself and about the altercation with the guards. Mr. MacDougall said that his job involved placement, and that he could help. He asked the plaintiff questions about his sexual orientation and his prostitution. He inferred that the prison would be rough for the plaintiff if he were to be placed back in the west wing with the two guards he had initially encountered. This led to a proposition. Mr. MacDougall would make things easier if the plaintiff allowed MacDougall to perform fellatio on him. If not, things could get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said, "Yeah, I guess so, ok." Mr. MacDougall then began fellating the plaintiff and masturbating himself until he ejaculated. The plaintiff had an erection, but did not ejaculate. The incident took 10 to 15 minutes. When it was over, Mr. MacDougall said he would see what he could do, asked the plaintiff if he needed anything, offered him some tobacco and sent him back to the south wing. He told the plaintiff to call him if he had any other problems or if the guards bothered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went back to his tier thinking that the whole world was corrupt. He did not tell anyone about the incident until many years later, when he was in counselling. He did not have anything more to do with Mr. MacDougall while he was in Oakalla for that month, and he never returned to Oakalla. He spent many of the ensuing years in federal penitentiaries for a series of drug and property crimes, culminating in a six year sentence for bank robbery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background</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Early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grew up in Victoria with his mother, stepfather and six siblings. When he was about 11 years old, he learned that his stepfather was not his biological father. He was having problems at home and at school, and was placed in foster care. He was raised in various foster homes and group homes until he was 18. At some of these homes, he was physically abused.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had several traumatic experiences as a child. These events took place when he was between seven and nine years old. The order in which they occurred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he was about seven years old, the plaintiff witnessed his stepfather attempt to kill his mother. During the incident, the plaintiff and his siblings were held hostage, and there was a standoff with the police. This had been preceded by other instances of violence between his stepfather and his mother - often involving the use of alcohol and drugs. Despite witnessing this violence, the plaintiff said he had a good relationship with his stepfather.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he was about eight years old, the plaintiff was kidnapped. He and a friend helped a man carry groceries home. The man gave them cigarettes and alcohol and then tried to sexually abuse them. When the plaintiff resisted, the man put him in a steamer trunk and left him there for several days. While the plaintiff was in the steamer trunk, he could hear his friend being abused. Eventually, the police came and found him in the trunk. For the year following this, the plaintiff attended weekly counselling sessions. This embarrassed him, as the incident was well known in his community. Eventually he refused to continue with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about age seven or eight, the plaintiff was sexually abused by a stranger, who molested him in a car. The man, who knew the plaintiff's name, touched his genitals and buttocks, and then dropped him off a few blocks from his home. The man had a penknife, and the plaintiff was very frightened. He did not tell anyone about this at the time.</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Adolescence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began using marijuana when he was 11 or 12 years old, after he went into foster care. This escalated to some degree to snorting cocaine and using hallucinogenic drugs - mushrooms and LSD - by about age 15. However, the plaintiff said he was not addicted to any substances until much later, after he was released from prison on the manslaughter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the plaintiff was about 15 years old, a man attempted to sexually assault him while hitchhiking.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did not behave well in school, and only completed grade eight. However, he was quite industrious, and held a variety of jobs from an early age. He cleaned stables, worked part time at a race track and worked as a bus boy. When he was 16, he had a full time job with the Ministry of Health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about age 15 or 16, while living at a group home, the plaintiff broke into an apartment to steal some marijuana. He was convicted in youth court of break and enter and theft under $200 and was given six months probation and 80 hours of community work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this time, the plaintiff was also engaging in male prostitution from time to time, as described above. However, he also had a girlfriend and a "good sex life". When he was 16, his girlfriend had a child. Although he did not have much contact with her when he was in prison, the plaintiff maintains a relationship with his daughter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life after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transferred to a federal institution in 1981 and remained in custody until his release in 1985. He said he adjusted to life in jail, but he had a "chip on his shoulder" because he did not like authority and he did not like people who abused their authority. He acknowledged that he had some "attitude problems" before he went to Oakalla. However, he said that after the sexual assault by Mr. MacDougall, he didn't care about anything, even his appeal. In spite of this, he completed his G.E.D. and took some university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had some trouble initially after his release. He became addicted to cocaine. He attempted suicide. He said he felt "shame, guilt, embarrassment and frustration" about "everything" and he described the sexual assault by Mr. MacDougall as "the icing on the cake". According to his Client History Report, which records his movements in the provincial correctional system, the plaintiff had a number of charges in 1986 - theft, break and enter, assault and possession of a weapon - none of which resulted in significant jail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By 1987, the plaintiff had made a remarkable turn-around in his life. He was involved in a serious relationship, stopped taking hard drugs, moved to Ontario with his common law wife, had two sons, and established a successful contracting business. This lasted for about five years. It all came to an end when he learned that his daughter had been molested, and he decided to return to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angry with his family and he began to use drugs again, this time more heavily than before. He became addicted to heroin. He then began a career of break and enter and theft offences, graduating to serious robberies. He has spent many years in jail since 1992. He continued to use drugs while in custody. He was released in November 2005. He continued to use drugs, but recently stopped. At the time of this trial, he was living with a friend in a "safe environment" and was planning to start a charter boat business. He has no contact with his two sons, but he has an active relationship with his daughter, who has children of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had a "stormy and dysfunctional" relationship with his mother when he was growing up, and he still struggles with that relationship. He also struggles with issues related to the true identity of his biological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never returned to prostitution. He testified that he no longer has doubts about his sexual orientation. He has had a number of relationships with women. He is not homophobic, but he does not like it when men approach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2001, the plaintiff began counselling with Ms. Irene Peterson. This continued until November 2005, when he was released from prison. He felt he made progress with Ms. Peterson, but he still has unresolved issues about a number of things, including the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seeks the following damages: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aggravated damages in the range of $45,000 to $55,000;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 for counselling in the range of $5,000;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of $30,000 for time out of custody and $90,000 for serving "extra time" while in custody;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in the amount of $10,000 against Mr. MacDougall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Crown's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Crown says that the plaintiff is entitled only to a nominal award for general damages, in the range of $5,000 to $10,000, primarily on the basis that there has been no long-lasting impact on his life as a result of the sexual assault. This is partly because the plaintiff was asked to submit to a sexual act which he had done many times before. The Crown also says that there is no evidence to support any award for past wage loss or for future counselling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must consider the extent to which Mr. MacDougall's sexual assault caused the plaintiff injury and whether that injury has caused the plaintiff a loss: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aff'd on these issues </w:t>
      </w:r>
      <w:hyperlink r:id="rId806" w:history="1">
        <w:r>
          <w:rPr>
            <w:rFonts w:ascii="arial" w:eastAsia="arial" w:hAnsi="arial" w:cs="arial"/>
            <w:i/>
            <w:color w:val="0077CC"/>
            <w:sz w:val="20"/>
            <w:u w:val="single"/>
            <w:shd w:val="clear" w:color="auto" w:fill="FFFFFF"/>
            <w:lang w:val="en-US" w:eastAsia="en-US" w:bidi="ar-SA"/>
          </w:rPr>
          <w:t>(2003), 21 B.C.L.R. (4th) 1</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2003 BCCA 671</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Chief Justice Brenner noted in </w:t>
      </w:r>
      <w:r>
        <w:rPr>
          <w:rFonts w:ascii="arial" w:eastAsia="arial" w:hAnsi="arial" w:cs="arial"/>
          <w:b/>
          <w:i/>
          <w:color w:val="000000"/>
          <w:sz w:val="20"/>
          <w:lang w:val="en-US" w:eastAsia="en-US" w:bidi="ar-SA"/>
        </w:rPr>
        <w:t>Blackwater</w:t>
      </w:r>
      <w:r>
        <w:rPr>
          <w:rFonts w:ascii="arial" w:eastAsia="arial" w:hAnsi="arial" w:cs="arial"/>
          <w:color w:val="000000"/>
          <w:sz w:val="20"/>
          <w:lang w:val="en-US" w:eastAsia="en-US" w:bidi="ar-SA"/>
        </w:rPr>
        <w:t>, cases of historic sexual assault present significant challenges to a court in determining issues of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cases of historical sexual assault, the plaintiff is likely to be claiming for chronic injuries, often psychological in nature. It is not uncommon for the life history of a victim of a historical sexual assault to include numerous stressful, unpleasant experiences unrelated to the sexual assault. Individuals, such as the plaintiffs in these matters, come before the courts with diagnoses of post-traumatic stress disorder, depression, substance abuse and other psychological conditions. Unravelling the question of causation in these cases arising as they do from torts committed so long ago is a daunting task. (para. 365)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This daunting task was acknowledged by the Supreme Court of Canada in its decision in </w:t>
      </w:r>
      <w:r>
        <w:rPr>
          <w:rFonts w:ascii="arial" w:eastAsia="arial" w:hAnsi="arial" w:cs="arial"/>
          <w:b/>
          <w:i/>
          <w:color w:val="000000"/>
          <w:sz w:val="20"/>
          <w:lang w:val="en-US" w:eastAsia="en-US" w:bidi="ar-SA"/>
        </w:rPr>
        <w:t>Blackwater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Untangling the different sources of damage and loss may be nigh impossible. Yet the law requires that it be done, since at law a plaintiff is entitled only to be compensated for </w:t>
      </w:r>
      <w:r>
        <w:rPr>
          <w:rFonts w:ascii="arial" w:eastAsia="arial" w:hAnsi="arial" w:cs="arial"/>
          <w:i/>
          <w:color w:val="000000"/>
          <w:sz w:val="20"/>
          <w:lang w:val="en-US" w:eastAsia="en-US" w:bidi="ar-SA"/>
        </w:rPr>
        <w:t>loss caused by the actionable wrong</w:t>
      </w:r>
      <w:r>
        <w:rPr>
          <w:rFonts w:ascii="arial" w:eastAsia="arial" w:hAnsi="arial" w:cs="arial"/>
          <w:color w:val="000000"/>
          <w:sz w:val="20"/>
          <w:lang w:val="en-US" w:eastAsia="en-US" w:bidi="ar-SA"/>
        </w:rPr>
        <w:t xml:space="preserve">. It is the "essential purpose and most basic principle of tort law" that the plaintiff be placed in the position he or she would have been in had the tort not been committed: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further noted that it is important to distinguish between causation as the source of the loss and the rules of damage assessment in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find Chief Justice Brenner's summary of the law of causation in </w:t>
      </w:r>
      <w:r>
        <w:rPr>
          <w:rFonts w:ascii="arial" w:eastAsia="arial" w:hAnsi="arial" w:cs="arial"/>
          <w:b/>
          <w:i/>
          <w:color w:val="000000"/>
          <w:sz w:val="20"/>
          <w:lang w:val="en-US" w:eastAsia="en-US" w:bidi="ar-SA"/>
        </w:rPr>
        <w:t>Blackwater</w:t>
      </w:r>
      <w:r>
        <w:rPr>
          <w:rFonts w:ascii="arial" w:eastAsia="arial" w:hAnsi="arial" w:cs="arial"/>
          <w:color w:val="000000"/>
          <w:sz w:val="20"/>
          <w:lang w:val="en-US" w:eastAsia="en-US" w:bidi="ar-SA"/>
        </w:rPr>
        <w:t xml:space="preserve"> to be helpful:</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psychological injury would have occurred at the same time, without the injuries sustained in the sexual assault, then causation is not proven;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was necessary to have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the sexual assaults and the other life circumstances for the psychological injury to occur, then causation is proven since the psychological injury would not have occurred but for the sexual assaults;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sexual assaults alone could have been a sufficient cause, and the other life circumstances alone could have been a sufficient cause, then it is unclear which was the cause in fact of the psychological injury. The trial judge must determine, on a balance of probabilities, whether the defendant's sexual assault(s) materially contributed to the psychological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370)</w:t>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has psychological injuries. Dr. Michael Elterman provided an assessment of the plaintiff regarding the effect of Mr. MacDougall's sexual assault. The results of his testing showed a complex and mixed picture of a person with a stress disorder and a serious substance abuse problem. He was not able to specify what injuries were attributable to the MacDougall assault, or to what extent the assault contributed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More particularly, Dr. Elterman was not able to say that the plaintiff's switch to hard drugs was directly related to the abuse.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aware that there are a variety of psychological assessments that have looked at the effects of trauma on Mr. Robinson and also how his use of alcohol and drugs have been used by him to escape from uncomfortable feelings. While it is realistic to say that Mr. Robinson's problems are a product of many life events and circumstances, his experience as a teenager at Oakalla entering the prison system was probably a significant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the plaintiff's prostitution, Dr. Elterman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issues that arises is whether the fact that he worked as a male prostitute before he was sexually abused in prison minimizes the effect on him. This is an interesting problem and it is not unlike saying that the sexual assault of a female prostitute has a less severe consequence because she is a sex trade worker. I think that the difference lies in the concept of "control". When an individual consents to sexual relations or enters into an agreement to provide a particular sexual service for money, this is something that they have agreed to and it is within their control. The particular dynamic described by Mr. Robinson is such that he did not consent and moreover, felt coerced out of fear and the need for protection to allow fellatio to take place on himself by MacDougall. He had thus given up control and felt compelled to cooperate. It is my opinion that one should look more to the interpersonal dynamic and emotional reaction within the situation rather than the sex act itself to examine the impact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Crown submitted that the plaintiff has not established a causal connection between his psychological injuries and the sexual assault. Mr. Johnston says that the plaintiff's evidence shows that the assault was an indignity, and that his other traumas and experiences together are the cause of his current symptoms, the most significant being his activity as a male prostitute, his drug addiction and his long periods of incarceration.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was engaging, candid and straightforward in his testimony. He does not attribute all of his current problems to Mr. MacDougall's abuse. He acknowledges that his drug addiction is one of his most serious issues. He has taken all of the available programs while incarcerated. He had doubts about his sexual orientation when he was a male prostitute before he went to Oakalla, but no longer has those doubts. He does not now have problems with his sexuality, but he says he has a "fear of intimacy" because he has not been able to disclose the sexual assault to his partners and close family members. This has been one of the hardest things for him, as he gets angry, then apathetic, and he loses his drive to be successful. He does not feel "complete or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tried to commit suicide twice in the mid-1980's. He attributed this to "just everything". He was using cocaine heavily. He felt that MacDougall was "like icing on the cake". He was able to turn things around quite remarkably after this, when he was living with his common law wife and children, and working in Ontario. Subsequently, his problems caught up with him again. When he was back in prison in the 1990's, he was struggling with all of his past - his childhood experiences, the breakdown of his relationship, drug abuse and MacDougall. He said that he tried to conceal the MacDougall assault throughout the years. However, in 1999, he disclosed the abuse to the RCMP and testified at Mr. MacDougall's criminal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described his current psychological symptoms. He has flashbacks that he relates to Mr. MacDougall, which are set off by smells, sounds or body odours. He has nightmares about running, fighting, jail, or people like MacDougall. He acknowledges that he has always had trouble sleeping and he is always fighting a variety of "evil" people or things in his dreams. He also acknowledges that he may be hyper-aroused about Mr. MacDougall now because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key issue is the causal connection between the MacDougall assault and the plaintiff's ability to trust or interact with prison guards or others in a position of authority within the prison system. The plaintiff testified that when he was placed into the prison system, he thought there was protection afforded to inmates, and when that was taken away by Mr. MacDougall, he was always anxious, fearful and on guard with other males, especially those in authority. He described an incident in 2001 when he saw Mr. MacDougall in the segregation unit at Matsqui Penitentiary. He said he "flipped" when he saw MacDougall sitting in his cell; he yelled at him and kicked his door. He thought the guards had let him out purposely so he could vent his feelings.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Elterman stated that this type of transference in abuse victims is not unusual: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Someone who has been victimized by an older man may project this anger and mistrust on similar types of individuals but not on others. It is indeed possible that the experience changed Mr. Robinson's attitude towards authorities within the prison system. He may have become more difficult and acted out with authorities within the prison system whom he now felt that he could not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Elterman agreed that the documents available in correctional services records and previous psychological assessments indicate that the plaintiff had cordial relationships with people within the system who were respectful towards him. He did not see a sudden change in behaviour after the encounter with Mr. MacDougall, but the plaintiff had only just entered the prison system. The plaintiff himself acknowledged in his testimony that he had some attitude problems before he went to Oakalla, and that both before and after MacDougall he did not mind persons in authority who did their job and were fair. When he was back in prison in the early 1990's, he candidly admitted that he responded "fine" to guards who treated him with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clear that the plaintiff's psychological problems stem from many sources. It is only where these problems would have occurred without the MacDougall sexual assault that causation is not proven. The plaintiff testified about symptoms that he relates to many of his prior traumas and experiences, including MacDougall, and I accept his evidence. I have some doubts about his statements that he has not been able to disclose the MacDougall abuse to those close to him, since he disclosed it rather publicly in 1999 and 2000 during the MacDougall criminal proceedings. However, I accept that the MacDougall abuse has had some effect on the plaintiff's ability to discuss intimate issues with those close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Elterman was not able to give a definitive opinion as to the effect of the sexual assault on the plaintiff's psychological symptoms. He thought that the experience at Oakalla was a significant one of a number of life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Based on all of this evidence, I find that the MacDougall assault materially contributed to some of the plaintiff's psychological injuries - in particular, to the psychological symptoms that he described, including a tendency to hide behind drugs. There is insufficient evidence that supports a direct causal connection between the sexual assault and the plaintiff's subsequent drug addiction and criminal behaviour. I accept that the MacDougall assault may have exacerbated the plaintiff's attitude towards some prison guards but I do not find that it materially contributed to his general attitude towards persons in authority in the prison system. The evidence shows that the plaintiff continued to get along well with many guards and others throughout his years in prison.</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is entitled to be compensated for the loss caused by the sexual assault, which includes symptoms of stress, anxiety and a tendency to hide behind drugs. He is entitled to be restored, as much as possible, to his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main issue is the extent of the damages that should be awarded in order to put the plaintiff back into his original position. Major J.,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addressed the relevance of pre-existing conditions. The related principles of "thin skull" and "crumbling skull" differ in terms of assessment of damages. Major J. simplified this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by moving away from this terminology, at paras. 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74 D.L.R.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169 C.L.R. 638;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Unrelated intervening events are to be taken into account in the same way as pre-existing conditions. In </w:t>
      </w:r>
      <w:r>
        <w:rPr>
          <w:rFonts w:ascii="arial" w:eastAsia="arial" w:hAnsi="arial" w:cs="arial"/>
          <w:b/>
          <w:i/>
          <w:color w:val="000000"/>
          <w:sz w:val="20"/>
          <w:lang w:val="en-US" w:eastAsia="en-US" w:bidi="ar-SA"/>
        </w:rPr>
        <w:t>T.W.N.A. v. Clarke</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(2003) 22 B.C.L.R. (4th) 1</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Smith J.A. held, at para. 36, citing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such an event would have affected the plaintiff's original position adversely in any event, the net loss attributable to the tort will not be as great and damages will be reduced proportionately.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Adair submitted that no reduction should be made to take into account the plaintiff's original position. He equates this case to some degree with </w:t>
      </w:r>
      <w:r>
        <w:rPr>
          <w:rFonts w:ascii="arial" w:eastAsia="arial" w:hAnsi="arial" w:cs="arial"/>
          <w:b/>
          <w:i/>
          <w:color w:val="000000"/>
          <w:sz w:val="20"/>
          <w:lang w:val="en-US" w:eastAsia="en-US" w:bidi="ar-SA"/>
        </w:rPr>
        <w:t>X. v. R.D.M.,</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[2004] B.C.J. No. 2044</w:t>
        </w:r>
      </w:hyperlink>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2004 BCSC 1273</w:t>
        </w:r>
      </w:hyperlink>
      <w:r>
        <w:rPr>
          <w:rFonts w:ascii="arial" w:eastAsia="arial" w:hAnsi="arial" w:cs="arial"/>
          <w:color w:val="000000"/>
          <w:sz w:val="20"/>
          <w:lang w:val="en-US" w:eastAsia="en-US" w:bidi="ar-SA"/>
        </w:rPr>
        <w:t xml:space="preserve">, rev'd in part </w:t>
      </w:r>
      <w:r>
        <w:rPr>
          <w:rFonts w:ascii="arial" w:eastAsia="arial" w:hAnsi="arial" w:cs="arial"/>
          <w:b/>
          <w:i/>
          <w:color w:val="000000"/>
          <w:sz w:val="20"/>
          <w:lang w:val="en-US" w:eastAsia="en-US" w:bidi="ar-SA"/>
        </w:rPr>
        <w:t>Zastowny v. MacDougall</w:t>
      </w:r>
      <w:r>
        <w:rPr>
          <w:rFonts w:ascii="arial" w:eastAsia="arial" w:hAnsi="arial" w:cs="arial"/>
          <w:color w:val="000000"/>
          <w:sz w:val="20"/>
          <w:lang w:val="en-US" w:eastAsia="en-US" w:bidi="ar-SA"/>
        </w:rPr>
        <w:t xml:space="preserve"> (2006), 255 B.C.A.C. 191, </w:t>
      </w:r>
      <w:hyperlink r:id="rId808" w:history="1">
        <w:r>
          <w:rPr>
            <w:rFonts w:ascii="arial" w:eastAsia="arial" w:hAnsi="arial" w:cs="arial"/>
            <w:i/>
            <w:color w:val="0077CC"/>
            <w:sz w:val="20"/>
            <w:u w:val="single"/>
            <w:shd w:val="clear" w:color="auto" w:fill="FFFFFF"/>
            <w:lang w:val="en-US" w:eastAsia="en-US" w:bidi="ar-SA"/>
          </w:rPr>
          <w:t>2006 BCCA 221</w:t>
        </w:r>
      </w:hyperlink>
      <w:r>
        <w:rPr>
          <w:rFonts w:ascii="arial" w:eastAsia="arial" w:hAnsi="arial" w:cs="arial"/>
          <w:color w:val="000000"/>
          <w:sz w:val="20"/>
          <w:lang w:val="en-US" w:eastAsia="en-US" w:bidi="ar-SA"/>
        </w:rPr>
        <w:t xml:space="preserve">, leave to appeal to S.C.C. requested, </w:t>
      </w:r>
      <w:hyperlink r:id="rId809" w:history="1">
        <w:r>
          <w:rPr>
            <w:rFonts w:ascii="arial" w:eastAsia="arial" w:hAnsi="arial" w:cs="arial"/>
            <w:i/>
            <w:color w:val="0077CC"/>
            <w:sz w:val="20"/>
            <w:u w:val="single"/>
            <w:shd w:val="clear" w:color="auto" w:fill="FFFFFF"/>
            <w:lang w:val="en-US" w:eastAsia="en-US" w:bidi="ar-SA"/>
          </w:rPr>
          <w:t>[2006] S.C.C.A. No. 284</w:t>
        </w:r>
      </w:hyperlink>
      <w:r>
        <w:rPr>
          <w:rFonts w:ascii="arial" w:eastAsia="arial" w:hAnsi="arial" w:cs="arial"/>
          <w:color w:val="000000"/>
          <w:sz w:val="20"/>
          <w:lang w:val="en-US" w:eastAsia="en-US" w:bidi="ar-SA"/>
        </w:rPr>
        <w:t xml:space="preserve">, where the trial judge made no reduction despite evidence that Mr. Zastowny was seriously addicted to cocaine and had resorted to criminal activity before the assaults. He pointed out that in this case, the plaintiff had no serious drug problem before he met Mr. MacDougall. Mr. Adair suggested that it is not possible to separate the plaintiff's psychological injuries that arise from the sexual assaults from the injuries that arise from other causes, and that this Court should take the "indivisible damages" approach taken by Vickers J. in </w:t>
      </w:r>
      <w:r>
        <w:rPr>
          <w:rFonts w:ascii="arial" w:eastAsia="arial" w:hAnsi="arial" w:cs="arial"/>
          <w:b/>
          <w:i/>
          <w:color w:val="000000"/>
          <w:sz w:val="20"/>
          <w:lang w:val="en-US" w:eastAsia="en-US" w:bidi="ar-SA"/>
        </w:rPr>
        <w:t>E.D.G. v. Hammer</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(1998), 53 B.C.L.R. (3d) 89</w:t>
        </w:r>
      </w:hyperlink>
      <w:r>
        <w:rPr>
          <w:rFonts w:ascii="arial" w:eastAsia="arial" w:hAnsi="arial" w:cs="arial"/>
          <w:color w:val="000000"/>
          <w:sz w:val="20"/>
          <w:lang w:val="en-US" w:eastAsia="en-US" w:bidi="ar-SA"/>
        </w:rPr>
        <w:t xml:space="preserve">, aff'd </w:t>
      </w:r>
      <w:hyperlink r:id="rId811"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Johnston submitted that the "crumbling skull" principle applies in this case, as the plaintiff's original position consisted of numerous horrific, traumatic events, and most notably, he was engaged as a male prostitute for a considerable period of time. He suggested that the MacDougall assault was "just one other act of fellatio to which the plaintiff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Clearly, the plaintiff experienced multiple traumas and had some serious psychological problems before he entered Oakalla and was sexually assaulted. The traumas included witnessing the attempted murder of his mother and being held hostage, being kidnapped and held in a steamer trunk while his friend was sexually abused, being sexually molested by a stranger, and being physically abused at various foster homes. He was involved in male prostitution. Perhaps the most significant traumatic event of his life was the incident that gave rise to his manslaughter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used drugs before he went to Oakalla, but he did not have an addiction. He had a demonstrated conduct disorder, and he did not attend school after grade eight. However, he was quite industrious and he held numerous legitimate jobs throughout his teen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Despite all of his difficulties, the plaintiff had a fairly positive assessment in September 1981 when he entered the federal prison system. He was described as "a bright, articulate and extroverted young man", who was adapting well to prison life. He appeared to be coming to grips with the facts of his offence. He was noted to act his age and interact well with his peers. The psychologist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he will be able to actualize his full potential within the institutional setting is something that only time will tell, but he is certainly off to a good start.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Mr. Robinson appears to need a lot of reassurance and enjoys contact with staff members. ... I see Mr. Robinson as an individual who is unlikely to cause trouble while incarcerated, and who will probably be ready for conditional release at an early point in his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Pre-existing conditions are difficult to assess when dealing with psychological or emotional injuries. I do not consider the "indivisible damages" approach from </w:t>
      </w:r>
      <w:r>
        <w:rPr>
          <w:rFonts w:ascii="arial" w:eastAsia="arial" w:hAnsi="arial" w:cs="arial"/>
          <w:b/>
          <w:i/>
          <w:color w:val="000000"/>
          <w:sz w:val="20"/>
          <w:lang w:val="en-US" w:eastAsia="en-US" w:bidi="ar-SA"/>
        </w:rPr>
        <w:t>E.D.G. v. Hammer</w:t>
      </w:r>
      <w:r>
        <w:rPr>
          <w:rFonts w:ascii="arial" w:eastAsia="arial" w:hAnsi="arial" w:cs="arial"/>
          <w:color w:val="000000"/>
          <w:sz w:val="20"/>
          <w:lang w:val="en-US" w:eastAsia="en-US" w:bidi="ar-SA"/>
        </w:rPr>
        <w:t xml:space="preserve"> to apply in this case. </w:t>
      </w:r>
      <w:r>
        <w:rPr>
          <w:rFonts w:ascii="arial" w:eastAsia="arial" w:hAnsi="arial" w:cs="arial"/>
          <w:b/>
          <w:i/>
          <w:color w:val="000000"/>
          <w:sz w:val="20"/>
          <w:lang w:val="en-US" w:eastAsia="en-US" w:bidi="ar-SA"/>
        </w:rPr>
        <w:t>E.D.G.</w:t>
      </w:r>
      <w:r>
        <w:rPr>
          <w:rFonts w:ascii="arial" w:eastAsia="arial" w:hAnsi="arial" w:cs="arial"/>
          <w:color w:val="000000"/>
          <w:sz w:val="20"/>
          <w:lang w:val="en-US" w:eastAsia="en-US" w:bidi="ar-SA"/>
        </w:rPr>
        <w:t xml:space="preserve"> was a case involving psychological injuries caused by sexual abuse, where the plaintiff had been sexually abused by others subsequent to the abuse by the defendant. Vickers J. made a finding that 90% of the plaintiff's damage was indivisible and was caused by the defendant and by the subsequent tortfeasors. This finding was not disturbed on appeal. This case does not change the requirement set out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that in assessing damages, the plaintiff must be returned, so far as possible, to his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Zastowny</w:t>
      </w:r>
      <w:r>
        <w:rPr>
          <w:rFonts w:ascii="arial" w:eastAsia="arial" w:hAnsi="arial" w:cs="arial"/>
          <w:color w:val="000000"/>
          <w:sz w:val="20"/>
          <w:lang w:val="en-US" w:eastAsia="en-US" w:bidi="ar-SA"/>
        </w:rPr>
        <w:t>, Cohen J. found that despite Mr. Zastowny's prior addiction to cocaine, there was no evidence from his life situation before his addiction and incarceration in Oakalla that supported a conclusion that he would have spent a large part of his adult life in jail had he not been sexually assaulted. He relied extensively on expert evidence to conclude that Mr. Zastowny's psychological problems were linked to his experience of being sexually assaulted by Mr. MacDougall, and that before being assaulted, his self concept and self-esteem were reasonably stable, he had good interpersonal confidence and he experienced normal sexual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this case, the plaintiff experienced significant trauma when he was young and as a consequence, demonstrated some behaviour disorders and psychological problems before entering Oakalla in 1981. He did not have an addiction to drugs. He was involved in male prostitution, and he had doubts about his sexual orientation. His manslaughter conviction arose from an altercation with one of his clients. In spite of all of that, the assessment of the plaintiff in 1981 indicated that he had potential for early release to the community. It is certainly not clear that he would have spent most of his adult life in prison. However, in my opinion, the evidence shows that the plaintiff's pre-existing life situation and experiences created a measurable risk that he would have suffered some emotional and psychological problems in the future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not agree with Mr. Johnston that the plaintiff's experience as a male prostitute was the most notable aspect of his original position. It is a factor among a number of traumatic events and experiences in his life, and it is a factor that relates to the plaintiff's psychological issues related to his sexuality. I do agree that all of these pre-existing conditions are inherent in the plaintiff's original position, and must be considered in the assessment of damages.</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Adair submitted that an appropriate award for general and aggravated damages is between $45,000 and $55,000. Mr. Johnston submitted that the appropriate range is between $5,000 and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Adair relied on several authorities, including </w:t>
      </w:r>
      <w:r>
        <w:rPr>
          <w:rFonts w:ascii="arial" w:eastAsia="arial" w:hAnsi="arial" w:cs="arial"/>
          <w:b/>
          <w:i/>
          <w:color w:val="000000"/>
          <w:sz w:val="20"/>
          <w:lang w:val="en-US" w:eastAsia="en-US" w:bidi="ar-SA"/>
        </w:rPr>
        <w:t>Yo v. Carver</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H.L. v. Canada</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[2003] 5 W.W.R. 421</w:t>
        </w:r>
      </w:hyperlink>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2002 SKCA 131</w:t>
        </w:r>
      </w:hyperlink>
      <w:r>
        <w:rPr>
          <w:rFonts w:ascii="arial" w:eastAsia="arial" w:hAnsi="arial" w:cs="arial"/>
          <w:color w:val="000000"/>
          <w:sz w:val="20"/>
          <w:lang w:val="en-US" w:eastAsia="en-US" w:bidi="ar-SA"/>
        </w:rPr>
        <w:t xml:space="preserve">, aff'd in part, </w:t>
      </w:r>
      <w:hyperlink r:id="rId814" w:history="1">
        <w:r>
          <w:rPr>
            <w:rFonts w:ascii="arial" w:eastAsia="arial" w:hAnsi="arial" w:cs="arial"/>
            <w:i/>
            <w:color w:val="0077CC"/>
            <w:sz w:val="20"/>
            <w:u w:val="single"/>
            <w:shd w:val="clear" w:color="auto" w:fill="FFFFFF"/>
            <w:lang w:val="en-US" w:eastAsia="en-US" w:bidi="ar-SA"/>
          </w:rPr>
          <w:t>[2005] 1 S.C.R. 401</w:t>
        </w:r>
      </w:hyperlink>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2005 SCC 25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X. v. R.D.M.</w:t>
      </w:r>
      <w:r>
        <w:rPr>
          <w:rFonts w:ascii="arial" w:eastAsia="arial" w:hAnsi="arial" w:cs="arial"/>
          <w:color w:val="000000"/>
          <w:sz w:val="20"/>
          <w:lang w:val="en-US" w:eastAsia="en-US" w:bidi="ar-SA"/>
        </w:rPr>
        <w:t xml:space="preserve">, rev'd in part </w:t>
      </w:r>
      <w:r>
        <w:rPr>
          <w:rFonts w:ascii="arial" w:eastAsia="arial" w:hAnsi="arial" w:cs="arial"/>
          <w:b/>
          <w:i/>
          <w:color w:val="000000"/>
          <w:sz w:val="20"/>
          <w:lang w:val="en-US" w:eastAsia="en-US" w:bidi="ar-SA"/>
        </w:rPr>
        <w:t>Zastowny v. MacDougall,</w:t>
      </w:r>
      <w:r>
        <w:rPr>
          <w:rFonts w:ascii="arial" w:eastAsia="arial" w:hAnsi="arial" w:cs="arial"/>
          <w:color w:val="000000"/>
          <w:sz w:val="20"/>
          <w:lang w:val="en-US" w:eastAsia="en-US" w:bidi="ar-SA"/>
        </w:rPr>
        <w:t xml:space="preserve">and </w:t>
      </w:r>
      <w:r>
        <w:rPr>
          <w:rFonts w:ascii="arial" w:eastAsia="arial" w:hAnsi="arial" w:cs="arial"/>
          <w:b/>
          <w:i/>
          <w:color w:val="000000"/>
          <w:sz w:val="20"/>
          <w:lang w:val="en-US" w:eastAsia="en-US" w:bidi="ar-SA"/>
        </w:rPr>
        <w:t>Curran v. MacDougall</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[2006] B.C.J. No. 1391</w:t>
        </w:r>
      </w:hyperlink>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2006 BCSC 933</w:t>
        </w:r>
      </w:hyperlink>
      <w:r>
        <w:rPr>
          <w:rFonts w:ascii="arial" w:eastAsia="arial" w:hAnsi="arial" w:cs="arial"/>
          <w:color w:val="000000"/>
          <w:sz w:val="20"/>
          <w:lang w:val="en-US" w:eastAsia="en-US" w:bidi="ar-SA"/>
        </w:rPr>
        <w:t xml:space="preserve">. Mr. Johnston provided a number of authorities to the Court, including </w:t>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(2001), 87 B.C.L.R. (3d) 52</w:t>
        </w:r>
      </w:hyperlink>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T.O. v. J.H.O.</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(2006), 266 D.L.R. (4th) 209</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2006 BCSC 560</w:t>
        </w:r>
      </w:hyperlink>
      <w:r>
        <w:rPr>
          <w:rFonts w:ascii="arial" w:eastAsia="arial" w:hAnsi="arial" w:cs="arial"/>
          <w:color w:val="000000"/>
          <w:sz w:val="20"/>
          <w:lang w:val="en-US" w:eastAsia="en-US" w:bidi="ar-SA"/>
        </w:rPr>
        <w:t xml:space="preserve">, but relied primarily on </w:t>
      </w:r>
      <w:r>
        <w:rPr>
          <w:rFonts w:ascii="arial" w:eastAsia="arial" w:hAnsi="arial" w:cs="arial"/>
          <w:b/>
          <w:i/>
          <w:color w:val="000000"/>
          <w:sz w:val="20"/>
          <w:lang w:val="en-US" w:eastAsia="en-US" w:bidi="ar-SA"/>
        </w:rPr>
        <w:t>Loveridge v. HMTQ</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(2005), 52 B.C.L.R. (4th) 178</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2005 BCSC 1068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Yo v. Carver</w:t>
      </w:r>
      <w:r>
        <w:rPr>
          <w:rFonts w:ascii="arial" w:eastAsia="arial" w:hAnsi="arial" w:cs="arial"/>
          <w:color w:val="000000"/>
          <w:sz w:val="20"/>
          <w:lang w:val="en-US" w:eastAsia="en-US" w:bidi="ar-SA"/>
        </w:rPr>
        <w:t>, the Court of Appeal confirmed that part of the award for compensatory damages is for pain, injury, suffering and discomfort, and for the negative effect of those injuries on the plaintiff's enjoyment of life, and that aggravated damages can be included in the award for compensatory damages for injury to the plaintiff's feelings, dignity, pride and self-respect.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H.L. v. Canada</w:t>
      </w:r>
      <w:r>
        <w:rPr>
          <w:rFonts w:ascii="arial" w:eastAsia="arial" w:hAnsi="arial" w:cs="arial"/>
          <w:color w:val="000000"/>
          <w:sz w:val="20"/>
          <w:lang w:val="en-US" w:eastAsia="en-US" w:bidi="ar-SA"/>
        </w:rPr>
        <w:t xml:space="preserve"> involved sexual abuse by the Residence Administrator of an Indian residential school who ran a boxing program. The plaintiff was a boy in his early teens who, though not a resident of the school, attended the boxing program. The abuse consisted of one advance and two acts of masturbation. The trial judge awarded the plaintiff $80,000 for non-pecuniary damages. This amount was upheld on appeal, although the Court of Appeal noted that this was at the upper end of the range, "exceeding it perhaps", but was not inordinately high so as to justify interfering with the award. This issue was not the subject of a further appeal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the trial judge awarded $25,000 in general damages to a plaintiff for physical assaults and a sexual assault that took place while the plaintiff was in foster care. On appeal, the court held that the claims for physical assault were statute barred. The sexual assault was described as an act of fellatio that the plaintiff was forced to perform on an older boy. The trial judge did not allocate the general damages award between the physical assaults and the sexual assault. The Court of Appeal, recognizing that any apportionment has an arbitrary element, assigned 40% of the total award to the sexual assault incident. The damage award of $10,000 was not considered to be inordinately low in the circumstances of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T.O. v. J.H.O.</w:t>
      </w:r>
      <w:r>
        <w:rPr>
          <w:rFonts w:ascii="arial" w:eastAsia="arial" w:hAnsi="arial" w:cs="arial"/>
          <w:color w:val="000000"/>
          <w:sz w:val="20"/>
          <w:lang w:val="en-US" w:eastAsia="en-US" w:bidi="ar-SA"/>
        </w:rPr>
        <w:t xml:space="preserve"> involved claims for sexual battery by the plaintiff's older brother. The assessment of damages was complicated because the plaintiff had also been sexually abused several years later by a counsellor at a correctional centre. The evidence did not demonstrate what effects the defendant's actions caused and what effects the other abuser caused, and there was no evidence that established that the initial abuse contributed to the plaintiff's later incarceration. As a result, the court awarded only nominal damages for the violation of the plaintiff's personal autonomy and dignity inherent in the battery itself. The award of $40,000 was given for the sexual battery, which consisted of continuous activity, beginning with fondling and masturbation, escalating to fellatio and ultimately an attempt at anal penetration where there was some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There have been three decisions involving Mr. MacDougall: </w:t>
      </w:r>
      <w:r>
        <w:rPr>
          <w:rFonts w:ascii="arial" w:eastAsia="arial" w:hAnsi="arial" w:cs="arial"/>
          <w:b/>
          <w:i/>
          <w:color w:val="000000"/>
          <w:sz w:val="20"/>
          <w:lang w:val="en-US" w:eastAsia="en-US" w:bidi="ar-SA"/>
        </w:rPr>
        <w:t>Zastowny, Curran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Loveridge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Zastowny</w:t>
      </w:r>
      <w:r>
        <w:rPr>
          <w:rFonts w:ascii="arial" w:eastAsia="arial" w:hAnsi="arial" w:cs="arial"/>
          <w:color w:val="000000"/>
          <w:sz w:val="20"/>
          <w:lang w:val="en-US" w:eastAsia="en-US" w:bidi="ar-SA"/>
        </w:rPr>
        <w:t>, the Crown admitted liability for two incidents of sexual assault. Cohen J. described the first assault at paras. 28 - 31: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arrested for breaking and entering, convicted and sent to Oakalla in the summer of 1988. Shortly after he arrived there he witnessed another inmate stabbed in the eye. The plaintiff described his incarceration at Oakalla as "scary".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R.D.M. was a classification officer at Oakalla. His role was to decide where prisoners in the system spent their incarceration. For this apparent reason he invited the plaintiff to his office. The plaintiff told R.D.M. that he was scared. When R.D.M. asked the plaintiff about the stabbing incident the plaintiff did not want to tell him anything because he was afraid for his own safety if he spoke about the incident. That is when R.D.M. told the plaintiff that he could get him out of Oakalla. When the plaintiff asked R.D.M. how, R.D.M. told the plaintiff that he would have to do him favours.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plaintiff, R.D.M. told him that he wanted to give the plaintiff a "blow job". The plaintiff refused, stating that he would rather remain in Oakalla. R.D.M. told the plaintiff that if he did not comply with his demands he had persons who could "get to him". The plaintiff took this to mean that R.D.M. would have him hurt, or even killed. R.D.M. also intimated to the plaintiff that these persons would rape him and not be as nice to him as R.D.M. would treat him. When the plaintiff repeated that he did not want to accede to R.D.M.'s demands, R.D.M. told him that he did not have a choice.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R.D.M. then performed oral sex on the plaintiff. The plaintiff ejaculated. R.D.M. warned the plaintiff that if he told anyone he would have someone get to him, and that if he spoke about it no one would believe him. The plaintiff said that he believed R.D.M.'s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second assault took place a few weeks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few weeks later, the plaintiff was again required to attend R.D.M.'s office. R.D.M. said he was pleased that the plaintiff had not said anything, and that he did not have to have the plaintiff hurt. R.D.M. told the plaintiff that there was a space for him at a forestry work camp in Chilliwack. R.D.M. told the plaintiff he could be moved there but that he would have to let R.D.M. perform oral sex on him again. The plaintiff refused. R.D.M. said that he was the boss and that he decided what happened. He warned the plaintiff that if he did not comply with his demands he could still have the plaintiff hurt. At that point he performed oral sex on the plaintiff for a second time. The plaintiff ejaculated. R.D.M. reminded him not to tell anyone or he would be hurt. He told the plaintiff that he would be leaving Oakalla in a week or two.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Cohen J. concluded that the sexual assaults caused or materially contributed to the plaintiff's myriad of psychological injuries, which included a serious antisocial personality disorder, low self-esteem and chronically poor self-concept, chronic sexual anxieties, self defeating behaviour, and exacerbated drug dependence. He found that the assaults had a long lasting, deep and formative emotional impact on the plaintiff for over fifteen years, resulting in psychological and social problems, addictions and conflicts with persons in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Zastowny was awarded $60,000 for general and aggravated damages. No reduction was made for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Curran</w:t>
      </w:r>
      <w:r>
        <w:rPr>
          <w:rFonts w:ascii="arial" w:eastAsia="arial" w:hAnsi="arial" w:cs="arial"/>
          <w:color w:val="000000"/>
          <w:sz w:val="20"/>
          <w:lang w:val="en-US" w:eastAsia="en-US" w:bidi="ar-SA"/>
        </w:rPr>
        <w:t xml:space="preserve"> also involved two incidents of sexual assault, where Mr. MacDougall performed oral sex on the plaintiff. The assaults were found to be on the lesser end of the spectrum: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MacDougall stopped at some point after the plaintiff reacted negatively, there was no ejaculation, no penetration and they did not continue over time. However, they were still serious assaults because Mr. MacDougall was a person in authority and the plaintiff was a young inmate who was vulnerable. The assaults were combined with threats against the plaintiff, which he believed were true. Mr. MacDougall breached his position of trust and authority. (para.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Curran had a very negative reaction to the incidents. About a week after the second assault, he escaped from custody. When he returned, he had an argument with Mr. MacDougall, who was angry about the escape. MacDougall threatened to have Mr. Curran "beat up and hurt and raped." When Mr. Curran went back to his cell, he slashed his wrists, forearms and neck with a razor. I found that Mr. MacDougall's actions materially contributed to this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Curran had little to do with Mr. MacDougall after that. About four years later, he had an opportunity to stand up to Mr. MacDougall, who then apologized. This had the effect of giving him back some of his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Curran's injuries as a result of the assaults included post-traumatic stress disorder and some anxiety and depression. He did not have doubts about his sexuality and was able to have normal sexual relationships with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Curran also had a very difficult life before he encountered Mr. MacDougall. His life experiences included physical abuse, abandonment by his parents, one incident of sexual abuse, substance abuse of alcohol and marijuana, and the death of a baby. He was involved in criminal activity from an early age. I concluded that the plaintiff's pre-existing personality and behaviour disorders created a measurable risk that he would have suffered emotional and psychological problems in the future in any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time of the assaults, these disorders had already manifested into serious anti-social and criminal behaviour. The plaintiff spent considerable time in juvenile and adult correctional facilities. These pre-existing traits are inherent in the plaintiff's original position. [para.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 award of $50,000 was reduced to $40,000 to take these pre-existing conditions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Loveridge</w:t>
      </w:r>
      <w:r>
        <w:rPr>
          <w:rFonts w:ascii="arial" w:eastAsia="arial" w:hAnsi="arial" w:cs="arial"/>
          <w:color w:val="000000"/>
          <w:sz w:val="20"/>
          <w:lang w:val="en-US" w:eastAsia="en-US" w:bidi="ar-SA"/>
        </w:rPr>
        <w:t>, the Court awarded $20,000 for three incidents of sexual assault, which were considered to have little impact on the plaintiff. Fraser J., found no causal connection between the assaults and Mr. Loveridge's unhappy life. He awarded damages based on the plaintiff's painful memories of having engaged in the three episodes.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the sexual assault committed by Mr. MacDougall against the plaintiff was a single encounter, which ended when Mr. MacDougall had satisfied himself. The plaintiff had an erection but did not ejaculate. Mr. MacDougall was a person in authority and the plaintiff was a young inmate who was particularly vulnerable, coming into the prison system for the first time, to serve a lengthy sentence. He was already shaken up from an encounter with two guards. The assault was combined with promises and implied threats against the plaintiff. The plaintiff's consent was coerced. Mr. MacDougall clearly breached his position of trust and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do not consider the fact that the plaintiff had engaged in similar sexual acts in the past as a male prostitute, in itself, reduces the overall impact of this assault. Although the act was sexual, I consider it to be more about power than sex. To find otherwise implies that sexual assaults have less consequence to individuals who have engaged in comparable sexual activity. I agree with Dr. Elterman that one should look more to "the interpersonal dynamic and emotional reaction within the situation rather than the sex act itself" to examine the impact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Adair emphasized that Mr. MacDougall used his position of authority over the plaintiff, within the prison system, to sexually manipulate him for personal ends. This, he submitted, is dramatically different from the plaintiff's prior consensual experiences submitting to fellatio. With MacDougall, the plaintiff had no control. I agree with this. However, I also agree with Mr. Johnston's submission to the extent that the plaintiff did not suffer from sexuality issues as a result of the assault; this was already in place before he entered Oakalla. The plaintiff's activity as a male prostitute has been a significant issue for him, particularly since it was that activity that led to the circumstances of his manslaughter conviction and the inevitable consequences of a long prison term at age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Having said that, the circumstances of the assault were clearly distressing for the plaintiff. He was significantly affected by Mr. MacDougall's assault at the time, and continues to have symptoms. Aggravated damages are appropriate. It is my view that Mr. Robinson is entitled to an award of general and aggravated damages in the amount of $45,000, which should be reduced to $40,000 to take into account his original position.</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claims a past income loss on two bases: (1) a notional award of $30,000 for a two-year period in 1998 to 1999 when the plaintiff was living in the community, and (2) $90,000 for six additional years he spent in prison, for extra time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Johnston submitted that there is no evidence that the plaintiff sustained damages for past income loss because of the assault.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Time in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shows that the plaintiff had vocational potential when he entered the prison system in 1981 and that he was able to realize that potential for a number of years after he was released from prison. His downfall in continuing to realize his potential has been his lapses into drug abuse and his criminal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the plaintiff started using drugs in his early teens, Mr. Adair submitted that he progressed to heavier drug use only after he encountered Mr. MacDougall at Oakalla, and that the abuse was a materially contributing cause of this progression. In those circumstances, he says, there is a clear connection between the sexual assault and the plaintiff's subsequent drug use, which handicapped the plaintiff's ability to be vocationally successful. He also says that there is a connection between the abuse and the plaintiff's ability to cope with the collapse of his common law relationship and the molestation of his daughter, both which occurred in the early 1990's. This "hot button issue" affected the plaintiff's ability to maintain the steady income he was earning in the late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quite clear that the plaintiff's use of drugs has seriously affected his ability to earn income. Drugs became a significant problem for the plaintiff in about 1985, after he was released from prison for the first time. He said he had difficulty functioning after being in jail. However, he was able to stop for a number of years, and he led a productive life until the early 1990's. His return to drugs in 1991 was precipitated by his return to BC to see his daughter and the break-up of his common law marriage. He was angry at his family for not telling him about his daughter. He said little about the circumstances of the break-up of his marriage; he acknowledged that there were "rough spots" but said that things were going well in the six months before they separated. Clearly, his action of leaving his life in Ontario was self-destructive. Dr. Elterman did not comment on this, or on whether the MacDougall abuse was connected to the plaintiff's inability to cope with the situation of his daughter and the break-up of his common law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noted above, Dr. Elterman referred to earlier assessments that looked at how the plaintiff uses alcohol and drugs "to escape from uncomfortable feelings", but he was not able to say that the plaintiff's switch to hard drugs was directly related to the abuse. There is a temporal connection between the sexual assault and the plaintiff's drug use. However, this is not enough to establish causation. The plaintiff was affected by his past problems and his years in prison as a result of the manslaughter conviction. He had difficulty functioning when he was released from jail. As indicated above, I find that the evidence does not establish a direct causal connection between the MacDougall sexual assault and the plaintiff's subsequent drug addiction. The evidence supports a conclusion that the plaintiff's use of drugs would have progressed and his ability to be vocational successful would have been affected even if the MacDougall assault had not occurred.</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Extra time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H.L. v. Canada</w:t>
      </w:r>
      <w:r>
        <w:rPr>
          <w:rFonts w:ascii="arial" w:eastAsia="arial" w:hAnsi="arial" w:cs="arial"/>
          <w:color w:val="000000"/>
          <w:sz w:val="20"/>
          <w:lang w:val="en-US" w:eastAsia="en-US" w:bidi="ar-SA"/>
        </w:rPr>
        <w:t xml:space="preserve"> confirms that public policy militates against compensating individuals for wages lost during periods of incarceration. This was acknowledged and applied by the majority of the Court of Appeal in </w:t>
      </w:r>
      <w:r>
        <w:rPr>
          <w:rFonts w:ascii="arial" w:eastAsia="arial" w:hAnsi="arial" w:cs="arial"/>
          <w:b/>
          <w:i/>
          <w:color w:val="000000"/>
          <w:sz w:val="20"/>
          <w:lang w:val="en-US" w:eastAsia="en-US" w:bidi="ar-SA"/>
        </w:rPr>
        <w:t>Zastowny</w:t>
      </w:r>
      <w:r>
        <w:rPr>
          <w:rFonts w:ascii="arial" w:eastAsia="arial" w:hAnsi="arial" w:cs="arial"/>
          <w:color w:val="000000"/>
          <w:sz w:val="20"/>
          <w:lang w:val="en-US" w:eastAsia="en-US" w:bidi="ar-SA"/>
        </w:rPr>
        <w:t>. However, Saunders J.A. held that extra time served in prison as a result of behaviour that is directly related to a tort may be compensable. Smith J.A. did not agree that extra time should be treated differently than core time, but acceded to the disposition proposed by Saunders J.A. so that an effective order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Adair submitted that the plaintiff served extra time in prison because of the sexual assault. He says that in all of the periods of time the plaintiff was in prison, he served almost his full sentence. This can be attributed to the plaintiff's distrust of males and in particular his distrust of prison officials. This, he submitted, must be seen as directly related to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Mr. Johnston submitted that there is insufficient evidence that the assault was a materially contributing cause for the plaintiff serving more core time or hard time in prison. He relies on the comments of Fish J. in </w:t>
      </w:r>
      <w:r>
        <w:rPr>
          <w:rFonts w:ascii="arial" w:eastAsia="arial" w:hAnsi="arial" w:cs="arial"/>
          <w:b/>
          <w:i/>
          <w:color w:val="000000"/>
          <w:sz w:val="20"/>
          <w:lang w:val="en-US" w:eastAsia="en-US" w:bidi="ar-SA"/>
        </w:rPr>
        <w:t>H.L.</w:t>
      </w:r>
      <w:r>
        <w:rPr>
          <w:rFonts w:ascii="arial" w:eastAsia="arial" w:hAnsi="arial" w:cs="arial"/>
          <w:color w:val="000000"/>
          <w:sz w:val="20"/>
          <w:lang w:val="en-US" w:eastAsia="en-US" w:bidi="ar-SA"/>
        </w:rPr>
        <w:t xml:space="preserve"> at para. 137: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calculating H.L.'s loss of past earnings, the trial judge did not reduce the damages awarded to reflect the time H.L. spent in prison. The Court of Appeal intervened in this respect - quite properly, in my view. As Cameron J.A. noted, to compensate an individual for loss of earnings arising from criminal conduct undermines the very purpose of our criminal justice system (paras. 240-41); an award of this type, if available in any circumstances, must be justified by exceptional considerations of a compelling nature and supported by clear and cogent evidence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Zastowny,</w:t>
      </w:r>
      <w:r>
        <w:rPr>
          <w:rFonts w:ascii="arial" w:eastAsia="arial" w:hAnsi="arial" w:cs="arial"/>
          <w:color w:val="000000"/>
          <w:sz w:val="20"/>
          <w:lang w:val="en-US" w:eastAsia="en-US" w:bidi="ar-SA"/>
        </w:rPr>
        <w:t xml:space="preserve"> Saunders J.A. found that the case differed from </w:t>
      </w:r>
      <w:r>
        <w:rPr>
          <w:rFonts w:ascii="arial" w:eastAsia="arial" w:hAnsi="arial" w:cs="arial"/>
          <w:b/>
          <w:i/>
          <w:color w:val="000000"/>
          <w:sz w:val="20"/>
          <w:lang w:val="en-US" w:eastAsia="en-US" w:bidi="ar-SA"/>
        </w:rPr>
        <w:t>H.L.</w:t>
      </w:r>
      <w:r>
        <w:rPr>
          <w:rFonts w:ascii="arial" w:eastAsia="arial" w:hAnsi="arial" w:cs="arial"/>
          <w:color w:val="000000"/>
          <w:sz w:val="20"/>
          <w:lang w:val="en-US" w:eastAsia="en-US" w:bidi="ar-SA"/>
        </w:rPr>
        <w:t xml:space="preserve"> on the findings of fact, as there was a causal connection between Mr. Zastowny's time in jail and the sexual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a general connection between Mr. Zastowny's offending behaviour and Mr. MacDougall's tortious conduct, the trial judge ... expressly connected two features of Mr. Zastowny's time in jail to the torts of Mr. MacDougall: the time spent consequent on his escape, which in turn was largely a response to the assaults; and the amount of time spent in jail because of his oppositional stance.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this case, there is no clear causal connection between the plaintiff's time in jail and the MacDougall assault. The plaintiff testified that he did all his time in jail and did not get any breaks. He attributed this largely to his use of drugs, which he in turn attributed to his struggle with all of his issues. There are no documents that confirm how much time the plaintiff actually spent in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Elterman stated that it was "possible" that the extra time served by Mr. Robinson may have been the result of the abuse if this resulted from a change in his attitude towards prison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opinion, the evidence does not support a conclusion that any extra time in jail was as a result of the plaintiff's distrust of male prison guards. As noted above, the plaintiff acknowledged that he had some attitude problems before he came to Oakalla, and that both before and after MacDougall he did not mind persons in authority who did their job and were fair. In 1981, when he entered the federal prison system, he was noted to enjoy contact with staff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agree with Mr. Johnston that this evidence is neither clear nor cogent and it does not justify an award for loss of earnings arising from the time the plaintiff was incarcerated for unrelated criminal activity.</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Future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Adair submitted that the plaintiff has an on-going need for counselling to assist him to deal with a number of issues, which include the MacDougall assault. He relies on Dr. Elterman's evidence that it would be helpful for the plaintiff to see a counsellor on a weekly basis for up to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Johnston submitted that there is no evidence to support an award for future counselling. The evidence is that the plaintiff requires counselling for substance abuse, but this is not causally connected to the MacDougall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Elterman testified that the plaintiff's biggest task is to stay away from alcohol and drugs, and he needs counselling that will assist him to avoid "red flag" situations. Irene Peterson, the plaintiff's counsellor when he was incarcerated from February 2001 to November 2005, agreed. In a "Progess Summary" admitted as a counsellor's report by agreement of counsel, Ms. Peterson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Drugs have allowed Mr. Robinson to avoid his feelings and live in his comfort zone. There are no known reasons that will restrict future employment other than his return to substance abuse and old patterns of behaviour. ... Mr. Robinson's inability to trust, his unhealthy self-worth, and his history of depression have held him back for many years. Mr. Robinson seems to be aware that these unresolved issues are directly related to his unresolved complex trauma that will not resolve itself without in-depth treatment once he returns to the community. It is imperative that he abstain from illicit drugs during the course of his treatment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notes that Mr. Robinson's progress in counselling was limited by the environment of the correctional facility. She recommended a residential substance abuse and trauma program (which no longer applies since the plaintiff has since been released from prison), with weekly follow-up for approximately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my view, there is a causal connection between the MacDougall abuse and the plaintiff's need for on-going counselling. I have found find that the MacDougall assault materially contributed to some of the plaintiff's psychological injuries, including a tendency to hide behind drugs. He clearly needs on-going counselling to assist him to stay away from drugs and to address his on-going issues, which include the MacDougall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not possible to apportion the costs of counselling sessions that are intended to address a multiplicity of issues. I consider the plaintiff's claim of $5,000 for future counselling to be entirely reasonable in the circumstances; this amount should enable the plaintiff to attend weekly counselling sessions for up to one year.</w:t>
      </w:r>
      <w:r>
        <w:rPr>
          <w:rFonts w:ascii="arial" w:eastAsia="arial" w:hAnsi="arial" w:cs="arial"/>
          <w:sz w:val="20"/>
          <w:lang w:val="en-US" w:eastAsia="en-US" w:bidi="ar-SA"/>
        </w:rPr>
        <w:cr/>
      </w:r>
    </w:p>
    <w:p>
      <w:pPr>
        <w:numPr>
          <w:numId w:val="1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plaintiff also seeks punitive damages against Mr. MacDougall only, in the amount of $10,000. This is the amount set by Joyce J. in a series of decisions involving Mr. MacDougall and other plaintiffs. His reasons are set out in </w:t>
      </w:r>
      <w:r>
        <w:rPr>
          <w:rFonts w:ascii="arial" w:eastAsia="arial" w:hAnsi="arial" w:cs="arial"/>
          <w:b/>
          <w:i/>
          <w:color w:val="000000"/>
          <w:sz w:val="20"/>
          <w:lang w:val="en-US" w:eastAsia="en-US" w:bidi="ar-SA"/>
        </w:rPr>
        <w:t>O'Neill v. MacDougall</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(2006), 54 B.C.L.R. (4th) 142</w:t>
        </w:r>
      </w:hyperlink>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2006 BCSC 180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agree that such an award is appropriate in the circumstances, and the plaintiff is entitled to $10,000 as punitive damages against the defendant Roderick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is entitled to an award for general and aggravated damages in the amount of $40,000, and an award for future counselling in the amount of $5,000. The plaintiff is also entitled to punitive damages against Mr. MacDougall in the amount of $10,000. His claims for past income loss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Although the result is divided, the plaintiff has been substantially successful, and I award him his costs at the usual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7"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Scott v. Canada (Attorney General), [2013] B.C.J. No. 1973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22-24,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S127611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1973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1651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293 C.R.R. (2d)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C.C.P.B. (2d) 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232 A.C.W.S. (3d) 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2710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Christopher Scott, Mark Douglas Campbell, Gavin Michael, David Flett, Kevin Albert Matthew Berry, Bradley Darren Quast, Aaron Michael Bedard, Plaintiffs, and The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8"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4" w:name="Keywords_41"/>
      <w:bookmarkEnd w:id="264"/>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Application by Attorney General for order striking out plaintiffs' proposed class action on basis that it did not disclose reasonable cause of action allowed, in part — Plaintiffs were members of Canadian Forces who were injured in course of duty — They claimed that benefits, assistance and compensation provided under legislation enacted in 2006 was arbitrary, substandard and inadequate and was substantially reduced from what was formerly granted under Pension Act — Not plain and obvious that majority of plaintiffs' claims had no reasonable prospect of success.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Constitutional law — Canadian Charter of Rights and Freedoms — Legal rights — Life, liberty and security of person — Right not to be deprived thereof — Principles of fundamental justice — Equality rights — Grounds of discrimination — Analogous — Application by Attorney General for order striking out plaintiffs' proposed class action on basis that it did not disclose reasonable cause of action allowed, in part — Plaintiffs were members of Canadian Forces who were injured in course of duty — They claimed that benefits, assistance and compensation provided under legislation enacted in 2006 was arbitrary, substandard and inadequate and was substantially reduced from what was formerly granted under Pension Act — Not plain and obvious that majority of plaintiffs' claims had no reasonable prospect of success.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Capacity of Crown to sue or be sued — Grounds — Failure to disclose a cause of action or defence — Application by Attorney General for order striking out plaintiffs' proposed class action on basis that it did not disclose reasonable cause of action allowed, in part — Plaintiffs were members of Canadian Forces who were injured in course of duty — They claimed that benefits, assistance and compensation provided under legislation enacted in 2006 was arbitrary, substandard and inadequate and was substantially reduced from what was formerly granted under Pension Act — Not plain and obvious that majority of plaintiffs' claims had no reasonable prospect of success.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Human rights law — Human rights legislation — Federal legislation — Canadian Bill of Rights — Application by Attorney General for order striking out plaintiffs' proposed class action on basis that it did not disclose reasonable cause of action allowed, in part — Plaintiffs were members of Canadian Forces who were injured in course of duty — They claimed that benefits, assistance and compensation provided under legislation enacted in 2006 was arbitrary, substandard and inadequate and was substantially reduced from what was formerly granted under Pension Act — Not plain and obvious that majority of plaintiffs' claims had no reasonable prospect of success.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Human rights law — Discrimination — Government benefits and services — Application by Attorney General for order striking out plaintiffs' proposed class action on basis that it did not disclose reasonable cause of action allowed, in part — Plaintiffs were members of Canadian Forces who were injured in course of duty — They claimed that benefits, assistance and compensation provided under legislation enacted in 2006 was arbitrary, substandard and inadequate and was substantially reduced from what was formerly granted under Pension Act — Not plain and obvious that majority of plaintiffs' claims had no reasonable prospect of success.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Pensions and benefits law — Public pension plans — Veterans' pensions and allowances — Disability and survivors' pensions — Application by Attorney General for order striking out plaintiffs' proposed class action on basis that it did not disclose reasonable cause of action allowed, in part — Plaintiffs were members of Canadian Forces who were injured in course of duty — They claimed that benefits, assistance and compensation provided under legislation enacted in 2006 was arbitrary, substandard and inadequate and was substantially reduced from what was formerly granted under Pension Act — Not plain and obvious that majority of plaintiffs' claims had no reasonable prospect of success.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5" w:name="Case Summary_38"/>
            <w:bookmarkEnd w:id="2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Attorney General for an order striking out the plaintiffs' proposed class action on the basis that it did not disclose a reasonable cause of action. The plaintiffs were members or former members of the Canadian Forces who were injured, physically or psychologically, in the course of duty. Until 2006, injured veterans were entitled to claim benefits, assistance and compensation under the Pension Act. On April 1, 2006, the Canadian Forces Members and Veterans Re-establishment and Compensation Act (the NVC) came into force. The NVC established a lump sum payment program for Canadian Forces members and veterans in lieu of disability pensions previously provided under the Pension Act. Each of the plaintiffs had received pension and other compensation from Veterans Affairs Canada pursuant to the provisions of the NVC. However, they complained that the compensation provided under the NVC was arbitrary, substandard and inadequate for supporting themselves and their families and had been substantially reduced from what was formerly granted under the Pension Act. The plaintiffs asserted the existence of a "Social Covenant" that gave rise to a fiduciary duty on the part of the federal government and invoked provisions of the Charter in an effort to effect a remedy. They also framed their claim under the doctrine of the "Honour of the Crown" and breach of a public duty. The Attorney General conceded that the benefits and services formerly available to Canadian Forces members and veterans under the Pension Act were substantially better than those that were now available to them under the NVC. However, the Attorney General claimed that the proposed action was not the appropriate vehicle for the expression of the plaintiffs' concerns.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6" w:name="Holdings of Court_32"/>
            <w:bookmarkEnd w:id="26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that causes of action grounded in a public duty of care, the claim for a declaration that the plaintiffs had been unlawfully deprived of their property rights without due process of law contrary to section 26 of the Charter, and the pleadings related to the Statutory Instruments Act disclosed no reasonable cause of action and had to be struck out. As applied to the unique circumstances of Canada's Aboriginal peoples, the Honour of the Crown mandated that the Crown was bound to honour the historical promises it made to them. It was not plain and obvious that the same principle could not be found to bind the Crown in respect of the historical promises it made to the members of the armed forces. It was not plain and obvious that the plaintiffs would be unable to demonstrate the hallmarks of vulnerability associated with the existence of a fiduciary duty. Nor was it plain and obvious that the plaintiffs would be unable to demonstrate that the Crown gave an undertaking of utmost loyalty and responsibility, express or implied, to ensure that Canadian Forces members and veterans would be provided suitable and adequate care and compensation for their service to their county. Clearly, veterans' specific interests to meaningfully survive were vulnerable to the Crown's control. It was not plain and obvious that status as a Canadian Forces member or veteran injured while serving Canada's interests would never be found to constitute a class of persons analogous to those enumerated in section 15(1) of the Charter. Moreover, it was not plain and obvious that the effect of the NVC did not impose a differential treatment on injured members and veterans compared to other Canadians who were injured on the job. It was not plain and obvious that the plaintiffs' claim that the NVC failed to provide adequate compensation to injured Canadian Forces members and veterans, thereby depriving them of their right to security of the person, had no reasonable prospect of success. It was not clear whether the Social Covenant created property rights for Canadian Forces' members and veterans, and the plaintiffs' claim based upon the Bill of Rights was not doomed to fail. The plaintiffs' claims did not relate to the original injuries they suffered in the course of service for which compensation was paid under the NVC. It was not plain and obvious that the claim for damages should be struck.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7" w:name="Legislation Cited_19"/>
      <w:bookmarkEnd w:id="2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9"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Bill of Rights, </w:t>
      </w:r>
      <w:hyperlink r:id="rId827" w:history="1">
        <w:r>
          <w:rPr>
            <w:rFonts w:ascii="arial" w:eastAsia="arial" w:hAnsi="arial" w:cs="arial"/>
            <w:i/>
            <w:color w:val="0077CC"/>
            <w:sz w:val="20"/>
            <w:u w:val="single"/>
            <w:shd w:val="clear" w:color="auto" w:fill="FFFFFF"/>
            <w:lang w:val="en-US" w:eastAsia="en-US" w:bidi="ar-SA"/>
          </w:rPr>
          <w:t>S.C. 1960, c. 44, s. 1</w:t>
        </w:r>
      </w:hyperlink>
      <w:r>
        <w:rPr>
          <w:rFonts w:ascii="arial" w:eastAsia="arial" w:hAnsi="arial" w:cs="arial"/>
          <w:color w:val="000000"/>
          <w:sz w:val="20"/>
          <w:lang w:val="en-US" w:eastAsia="en-US" w:bidi="ar-SA"/>
        </w:rPr>
        <w:t>, s.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7, s. 15, s. 15(1), s. 24(1), s. 26,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Forces Members and Veterans Re-establishment and Compensation Act, </w:t>
      </w:r>
      <w:hyperlink r:id="rId828" w:history="1">
        <w:r>
          <w:rPr>
            <w:rFonts w:ascii="arial" w:eastAsia="arial" w:hAnsi="arial" w:cs="arial"/>
            <w:i/>
            <w:color w:val="0077CC"/>
            <w:sz w:val="20"/>
            <w:u w:val="single"/>
            <w:shd w:val="clear" w:color="auto" w:fill="FFFFFF"/>
            <w:lang w:val="en-US" w:eastAsia="en-US" w:bidi="ar-SA"/>
          </w:rPr>
          <w:t>S.C. 2005, c. 21, s. 3</w:t>
        </w:r>
      </w:hyperlink>
      <w:r>
        <w:rPr>
          <w:rFonts w:ascii="arial" w:eastAsia="arial" w:hAnsi="arial" w:cs="arial"/>
          <w:color w:val="000000"/>
          <w:sz w:val="20"/>
          <w:lang w:val="en-US" w:eastAsia="en-US" w:bidi="ar-SA"/>
        </w:rPr>
        <w:t>(1), s. 8(1), s. 18(1), s. 25(1), s. 27, s. 45, s. 45(1), s. 47(1), s. 51(2), s. 52.1(1)(b), s. 60, s. 64(1), s. 66(1)(a), s. 66(1)(c)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Human Rights Act, </w:t>
      </w:r>
      <w:hyperlink r:id="rId829" w:history="1">
        <w:r>
          <w:rPr>
            <w:rFonts w:ascii="arial" w:eastAsia="arial" w:hAnsi="arial" w:cs="arial"/>
            <w:i/>
            <w:color w:val="0077CC"/>
            <w:sz w:val="20"/>
            <w:u w:val="single"/>
            <w:shd w:val="clear" w:color="auto" w:fill="FFFFFF"/>
            <w:lang w:val="en-US" w:eastAsia="en-US" w:bidi="ar-SA"/>
          </w:rPr>
          <w:t>R.S.C. 1985, c. H-6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830" w:history="1">
        <w:r>
          <w:rPr>
            <w:rFonts w:ascii="arial" w:eastAsia="arial" w:hAnsi="arial" w:cs="arial"/>
            <w:i/>
            <w:color w:val="0077CC"/>
            <w:sz w:val="20"/>
            <w:u w:val="single"/>
            <w:shd w:val="clear" w:color="auto" w:fill="FFFFFF"/>
            <w:lang w:val="en-US" w:eastAsia="en-US" w:bidi="ar-SA"/>
          </w:rPr>
          <w:t>R.S.C. 1985, c. C-50, s. 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National Defence Act, </w:t>
      </w:r>
      <w:hyperlink r:id="rId831" w:history="1">
        <w:r>
          <w:rPr>
            <w:rFonts w:ascii="arial" w:eastAsia="arial" w:hAnsi="arial" w:cs="arial"/>
            <w:i/>
            <w:color w:val="0077CC"/>
            <w:sz w:val="20"/>
            <w:u w:val="single"/>
            <w:shd w:val="clear" w:color="auto" w:fill="FFFFFF"/>
            <w:lang w:val="en-US" w:eastAsia="en-US" w:bidi="ar-SA"/>
          </w:rPr>
          <w:t>R.S.C. 1985, c. N-5, s. 16</w:t>
        </w:r>
      </w:hyperlink>
      <w:r>
        <w:rPr>
          <w:rFonts w:ascii="arial" w:eastAsia="arial" w:hAnsi="arial" w:cs="arial"/>
          <w:color w:val="000000"/>
          <w:sz w:val="20"/>
          <w:lang w:val="en-US" w:eastAsia="en-US" w:bidi="ar-SA"/>
        </w:rPr>
        <w:t>(1), s. 23, s. 88, s.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Pension Act, </w:t>
      </w:r>
      <w:hyperlink r:id="rId832" w:history="1">
        <w:r>
          <w:rPr>
            <w:rFonts w:ascii="arial" w:eastAsia="arial" w:hAnsi="arial" w:cs="arial"/>
            <w:i/>
            <w:color w:val="0077CC"/>
            <w:sz w:val="20"/>
            <w:u w:val="single"/>
            <w:shd w:val="clear" w:color="auto" w:fill="FFFFFF"/>
            <w:lang w:val="en-US" w:eastAsia="en-US" w:bidi="ar-SA"/>
          </w:rPr>
          <w:t>R.S.C. 1985, c. P-6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Statutory Instruments Act, </w:t>
      </w:r>
      <w:hyperlink r:id="rId833" w:history="1">
        <w:r>
          <w:rPr>
            <w:rFonts w:ascii="arial" w:eastAsia="arial" w:hAnsi="arial" w:cs="arial"/>
            <w:i/>
            <w:color w:val="0077CC"/>
            <w:sz w:val="20"/>
            <w:u w:val="single"/>
            <w:shd w:val="clear" w:color="auto" w:fill="FFFFFF"/>
            <w:lang w:val="en-US" w:eastAsia="en-US" w:bidi="ar-SA"/>
          </w:rPr>
          <w:t>R.S.C. 1985, c. S-22, s. 3</w:t>
        </w:r>
      </w:hyperlink>
      <w:r>
        <w:rPr>
          <w:rFonts w:ascii="arial" w:eastAsia="arial" w:hAnsi="arial" w:cs="arial"/>
          <w:color w:val="000000"/>
          <w:sz w:val="20"/>
          <w:lang w:val="en-US" w:eastAsia="en-US" w:bidi="ar-SA"/>
        </w:rPr>
        <w:t>(2), s. 8, s. 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8" w:name="Counsel_41"/>
      <w:bookmarkEnd w:id="2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0"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J. Sorochan, Q.C., K. Thompson, R. E. K. Truman, V. 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 Vickery, M. E. Tessier, T. Henderson.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9" w:name="Judgment_41"/>
      <w:bookmarkEnd w:id="269"/>
      <w:r>
        <w:pict>
          <v:line id="_x0000_s1221" style="position:absolute;z-index:2518548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October 16, 2013;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0" w:name="G. WEATHERILL J."/>
            <w:bookmarkEnd w:id="270"/>
            <w:r>
              <w:rPr>
                <w:rFonts w:ascii="arial" w:eastAsia="arial" w:hAnsi="arial" w:cs="arial"/>
                <w:b/>
                <w:color w:val="000000"/>
                <w:sz w:val="30"/>
                <w:lang w:val="en-US" w:eastAsia="en-US" w:bidi="ar-SA"/>
              </w:rPr>
              <w:t>G.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is about promises the Canadian Government made to men and women injured while in service to their country and whether it is obliged to fulfill those promises.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members or former members of the Canadian Forces who were injured, physically or psychologically, in the course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Injured veterans are entitled to claim benefits, assistance and compensation under federal legislation. Until 2006, the governing legislation was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R.S.C. 1985, c. P-6</w:t>
        </w:r>
      </w:hyperlink>
      <w:r>
        <w:rPr>
          <w:rFonts w:ascii="arial" w:eastAsia="arial" w:hAnsi="arial" w:cs="arial"/>
          <w:color w:val="000000"/>
          <w:sz w:val="20"/>
          <w:lang w:val="en-US" w:eastAsia="en-US" w:bidi="ar-SA"/>
        </w:rPr>
        <w:t xml:space="preserve">. On April 1, 2006, the </w:t>
      </w:r>
      <w:r>
        <w:rPr>
          <w:rFonts w:ascii="arial" w:eastAsia="arial" w:hAnsi="arial" w:cs="arial"/>
          <w:i/>
          <w:color w:val="000000"/>
          <w:sz w:val="20"/>
          <w:lang w:val="en-US" w:eastAsia="en-US" w:bidi="ar-SA"/>
        </w:rPr>
        <w:t>Canadian Forces Members and Veterans Re-establishment and Compensation Act,</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S.C. 2005, c. 21</w:t>
        </w:r>
      </w:hyperlink>
      <w:r>
        <w:rPr>
          <w:rFonts w:ascii="arial" w:eastAsia="arial" w:hAnsi="arial" w:cs="arial"/>
          <w:color w:val="000000"/>
          <w:sz w:val="20"/>
          <w:lang w:val="en-US" w:eastAsia="en-US" w:bidi="ar-SA"/>
        </w:rPr>
        <w:t xml:space="preserve"> came into force (which the plaintiffs refer to as the "New Veterans Charter" or "NVC").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NVC established,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 lump sum payment program for Canadian Forces members and veterans in lieu of disability pensions previously provided under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Each of the plaintiffs has received pension and other compensation from Veterans Affairs Canada pursuant to the provisions of the NVC. However they complain that the compensation provided under the provisions of the NVC is arbitrary, substandard and inadequate for supporting themselves and their families. They say their compensation and other benefits have been substantially reduced from what was formerly granted under the provisions of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Moreover they say they are being treated unequally because the benefits and compensation available under the NVC are substantially less favourable than those that are available to injured persons claiming under tort law or workers compensation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plaintiffs assert the existence of a "Social Covenant" that gives rise to a fiduciary duty on the part of the federal government and invoke provisions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specifically ss. 7, 15 and 24(1) in an effort to effect a remedy. They also frame their claim under the doctrine of the "Honour of the Crown", breach of a public duty, breach of their property rights contrary to the </w:t>
      </w:r>
      <w:r>
        <w:rPr>
          <w:rFonts w:ascii="arial" w:eastAsia="arial" w:hAnsi="arial" w:cs="arial"/>
          <w:i/>
          <w:color w:val="000000"/>
          <w:sz w:val="20"/>
          <w:lang w:val="en-US" w:eastAsia="en-US" w:bidi="ar-SA"/>
        </w:rPr>
        <w:t>Canadian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S.C. 1960, c. 44,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UN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G.A. Res. 217(III), UNGAOR, 3d Sess., Supp. No. 13, UN Doc. A/810 (1948) 71. Further, they make allegations with respect to the </w:t>
      </w:r>
      <w:r>
        <w:rPr>
          <w:rFonts w:ascii="arial" w:eastAsia="arial" w:hAnsi="arial" w:cs="arial"/>
          <w:i/>
          <w:color w:val="000000"/>
          <w:sz w:val="20"/>
          <w:lang w:val="en-US" w:eastAsia="en-US" w:bidi="ar-SA"/>
        </w:rPr>
        <w:t>Statutory Instruments Act</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R.S.C. 1985, c. S-22</w:t>
        </w:r>
      </w:hyperlink>
      <w:r>
        <w:rPr>
          <w:rFonts w:ascii="arial" w:eastAsia="arial" w:hAnsi="arial" w:cs="arial"/>
          <w:color w:val="000000"/>
          <w:sz w:val="20"/>
          <w:lang w:val="en-US" w:eastAsia="en-US" w:bidi="ar-SA"/>
        </w:rPr>
        <w:t xml:space="preserve">, the Table of Disabilities under the NVC and the </w:t>
      </w:r>
      <w:r>
        <w:rPr>
          <w:rFonts w:ascii="arial" w:eastAsia="arial" w:hAnsi="arial" w:cs="arial"/>
          <w:i/>
          <w:color w:val="000000"/>
          <w:sz w:val="20"/>
          <w:lang w:val="en-US" w:eastAsia="en-US" w:bidi="ar-SA"/>
        </w:rPr>
        <w:t>Canadian Human Rights Act</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R.S.C. 1985, c. H-6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Counsel for the defendant concedes, for the purpose of this application, that the benefits and services formerly available to Canadian Forces members and veterans under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were substantially better than those that are now available to them under the NVC.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filed this action as a proposed class proceeding. The action is in its early stages. The defendant has not yet filed its response to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applies pursuant to R.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an order striking out the plaintiffs' claim in its entirety on the basis that it does not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the defendant says that Canada brings this application not because Canada questions the service dedication and sacrifices of the Canadian Forces members and veterans but because the claim as presently framed has no chance of success. He stressed that Canada "acknowledges the gravity of the injuries suffered by many of the members of the proposed class". He maintains, however, that the object of the NVC is to ameliorate the effects of such injuries and that this action is not the appropriate vehicle for the expression of the plaintiffs'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the reasons that follow, the defendant's application is dismissed except in small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Canadian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Canadian Forces consists of:</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"Regular Force" comprised of officers and non-commissioned members enrolled for continuing, full-time military service;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"Reserve Force", comprised of officers and non-commissioned members enrolled for other than full-time military service;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"Special Force" established by the Governor-in-Council in consequence of any action undertaken by Canada under the UN Charter, the North Atlantic Treaty, the North American Aerospace Defence Command Agreement or any other similar instrument to which Canada is a party pursuant to s. 16(1) of the </w:t>
      </w:r>
      <w:r>
        <w:rPr>
          <w:rFonts w:ascii="arial" w:eastAsia="arial" w:hAnsi="arial" w:cs="arial"/>
          <w:i/>
          <w:color w:val="000000"/>
          <w:sz w:val="20"/>
          <w:lang w:val="en-US" w:eastAsia="en-US" w:bidi="ar-SA"/>
        </w:rPr>
        <w:t>National Defence Act</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R.S.C. 1985, c. N-5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NVC Benefit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NVC empowers the Minister of Veterans Affairs to provide to eligible Canadian Forces members and veterans various benefits and services, including:</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earnings loss benefits (s. 18(1));</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permanent impairment allowance for veterans experiencing permanent and severe impairments in respect of physical or mental health problems (s. 38(1));</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career transition services (s. 3(1));</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 services (s. 8(1));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clothing allowances (s. 60);</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detention benefits (s. 64(1));</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supplementary retirement benefits (s. 25(1));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support benefits (for eligible veterans who received earnings loss benefit pursuant to s. 18 or would, but for their level of income, have received it) (s.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NVC empowers the Minister to provide similar services and benefits to the spouses, common law partners and survivors of veterans and to enter into a contract for a group health insurance program and make contributions and premiums under the program (s. 66(1)(a)-(c)). The Minister may provide disability awards for eligible members and veterans who are suffering from a disability resulting from a service-related injury or disease, or a non-service related injury or disease that was aggravated by service (s. 45(1)). Disability awards may also be made in respect of loss, impairment or permanent loss of the use of paired organs or limbs where the member or veteran has received a disability award under s. 45 for the loss or permanent loss of the use of the other paired organ or limb (s. 47(1)).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Like under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the assessment of the extent of a disability under the NVC is based upon the statutory instructions and a Table of Disabilities created by the Minister to guide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Prior to 2011, disability awards under the NVC were payable as a lump sum. The 2011 amendments now provide claimants with the option of annual payments (s. 52.1(1)(b)) subject to certain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TEST FOR STRIKING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 claim will only be struck if, assuming the facts pleaded are true, it is plain and obvious that the pleadings disclose no reasonable cause of action. To put it another way, the claim has no reasonable prospect of success: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plaintiff is not entitled to rely on the possibility that new facts may turn up as the case progresses. It is incumbent on the plaintiff to plead all of the facts upon which the claim is being made: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Conclusions of law in the pleading that are not supported by the pleaded facts will be struck: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 20;</w:t>
      </w:r>
      <w:r>
        <w:rPr>
          <w:rFonts w:ascii="arial" w:eastAsia="arial" w:hAnsi="arial" w:cs="arial"/>
          <w:i/>
          <w:color w:val="000000"/>
          <w:sz w:val="20"/>
          <w:lang w:val="en-US" w:eastAsia="en-US" w:bidi="ar-SA"/>
        </w:rPr>
        <w:t xml:space="preserve"> Canadian Bar Association v. British Columbia</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(leave to appeal refused </w:t>
      </w:r>
      <w:hyperlink r:id="rId839" w:history="1">
        <w:r>
          <w:rPr>
            <w:rFonts w:ascii="arial" w:eastAsia="arial" w:hAnsi="arial" w:cs="arial"/>
            <w:i/>
            <w:color w:val="0077CC"/>
            <w:sz w:val="20"/>
            <w:u w:val="single"/>
            <w:shd w:val="clear" w:color="auto" w:fill="FFFFFF"/>
            <w:lang w:val="en-US" w:eastAsia="en-US" w:bidi="ar-SA"/>
          </w:rPr>
          <w:t>[2008] S.C.C.A. No. 185</w:t>
        </w:r>
      </w:hyperlink>
      <w:r>
        <w:rPr>
          <w:rFonts w:ascii="arial" w:eastAsia="arial" w:hAnsi="arial" w:cs="arial"/>
          <w:color w:val="000000"/>
          <w:sz w:val="20"/>
          <w:lang w:val="en-US" w:eastAsia="en-US" w:bidi="ar-SA"/>
        </w:rPr>
        <w:t>)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will be generous and will err on the side of permitting a novel but arguable claim to proceed to trial: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No special consideration is given for class actions (</w:t>
      </w:r>
      <w:r>
        <w:rPr>
          <w:rFonts w:ascii="arial" w:eastAsia="arial" w:hAnsi="arial" w:cs="arial"/>
          <w:i/>
          <w:color w:val="000000"/>
          <w:sz w:val="20"/>
          <w:lang w:val="en-US" w:eastAsia="en-US" w:bidi="ar-SA"/>
        </w:rPr>
        <w:t>Merchant Law Group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Canada (Revenue Agency)</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2010 FCA 184</w:t>
        </w:r>
      </w:hyperlink>
      <w:r>
        <w:rPr>
          <w:rFonts w:ascii="arial" w:eastAsia="arial" w:hAnsi="arial" w:cs="arial"/>
          <w:color w:val="000000"/>
          <w:sz w:val="20"/>
          <w:lang w:val="en-US" w:eastAsia="en-US" w:bidi="ar-SA"/>
        </w:rPr>
        <w:t xml:space="preserve"> at para. 40),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infringement claims (</w:t>
      </w:r>
      <w:r>
        <w:rPr>
          <w:rFonts w:ascii="arial" w:eastAsia="arial" w:hAnsi="arial" w:cs="arial"/>
          <w:i/>
          <w:color w:val="000000"/>
          <w:sz w:val="20"/>
          <w:lang w:val="en-US" w:eastAsia="en-US" w:bidi="ar-SA"/>
        </w:rPr>
        <w:t>Canadian Bar Association</w:t>
      </w:r>
      <w:r>
        <w:rPr>
          <w:rFonts w:ascii="arial" w:eastAsia="arial" w:hAnsi="arial" w:cs="arial"/>
          <w:color w:val="000000"/>
          <w:sz w:val="20"/>
          <w:lang w:val="en-US" w:eastAsia="en-US" w:bidi="ar-SA"/>
        </w:rPr>
        <w:t xml:space="preserve"> at para 51) or for claims alleging the existence of a fiduciary duty (</w:t>
      </w:r>
      <w:r>
        <w:rPr>
          <w:rFonts w:ascii="arial" w:eastAsia="arial" w:hAnsi="arial" w:cs="arial"/>
          <w:i/>
          <w:color w:val="000000"/>
          <w:sz w:val="20"/>
          <w:lang w:val="en-US" w:eastAsia="en-US" w:bidi="ar-SA"/>
        </w:rPr>
        <w:t>Alberta v. Elder Advocates of Alberta</w:t>
      </w:r>
      <w:r>
        <w:rPr>
          <w:rFonts w:ascii="arial" w:eastAsia="arial" w:hAnsi="arial" w:cs="arial"/>
          <w:color w:val="000000"/>
          <w:sz w:val="20"/>
          <w:lang w:val="en-US" w:eastAsia="en-US" w:bidi="ar-SA"/>
        </w:rPr>
        <w:t xml:space="preserve"> Society, </w:t>
      </w:r>
      <w:hyperlink r:id="rId841"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at para. 60). Each claim must stand or fall 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Social Covenant and the Honour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 purposes of this application, the following facts pleaded in the amended notice of civil claim are assumed to be true: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members of the Canadian Forces put on the uniform of their country they make an extraordinary personal commitment to place the welfare of others ahead of their personal interests, to serve Canada before self and to put themselves at risk, as required, in the interests of the nation. A veteran, whether regular or reserve, active or retired, is someone who, at one point in their life, wrote a blank cheque made payable to "the Government of Canada," for an amount of "up to and including their life." This commitment to make the ultimate sacrifice reflects their honour in the service of their country.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equivalent profession to that of service in the Canadian Forces. Because of this extraordinary commitment, there is a long-recognized covenant that exists between the Canadian nation, the nation's people and those who hazard their lives in its service as members of the armed forces.</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Social Covenant or Social Contract between Canada and those who serve it guarantees military members adequate recognition and benefit for the sacrifices they make and the service they render Canada is of paramount importance in a country that relies upon the voluntary recruitment of its youth to fill its military ranks.</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of the Canadian Forces are entitled to expect that if they sustain illness or injury in the line of duty, they will be taken care of by the country they serve. If the Canadian Forces is to retain and reinforce the loyalty and commitment of its members and attract new recruits, Canadian forces policies must strive to ensure that such expectations are well met.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Canada's covenant to those who serve in the Canadian forces is based on the following principles: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members have their service be treated with dignity and respect;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members be assured of reasonable career progression;</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members of the Canadian Forces are fairly and equitably compensated for the services they perform and the skills they exercise in performance of their many duties with compensation that properly takes into account the unique nature of military service;</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members of the Canadian forces be provided with appropriate equipment and kit commensurate with their duties;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all members and their families are provided with ready access to suitable and affordable accommodation which conform to modern standards and the reasonable expectations of those living in today's society;</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military personnel and their families be provided with access to a full and adequate range of support services, offered in both official languages, that will ensure their financial, physical and spiritual well-being;</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suitable care and compensation be provided to members, veterans and those injured in the service of Canada through programs and services required to meet the complex needs of individual members;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military personnel and their families be provided with assistance in a seamless transition from military to civilian life;</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guiding principle for the recognition, care and compensation must always be compassion;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Canada provides appropriate recognition and commemoration for the service and sacrifice of military personnel and their families.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Canadian troops prepared for the Battle of Vimy Ridge in 1917, they were visited by the Prime Minister, Sir Robert Borden, who made this commitment on behalf of their country: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can go into this action feeling assured of this, and as the head of the government I give you this assurance, that you need have no fear that the government and the country will fail to show just appreciation of your service to the country in what you are about to do and what you have already done. The government and the country will consider it their first duty to prove to the returned men its just and due appreciation of the inestimable value of the services rendered to the country and Empire; and that no man, whether he goes back or whether he remains in Flanders, will have just cause to reproach the government for having broken faith with the men who won and the men who died".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Later in 1917 the Borden's Unionist national unity Canadian government made a further solemn commitment to those in uniform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men by whose sacrifice and endurance the free institutions of Canada will be preserved must be re-educated where necessary and re-established on the land or in such pursuits or vocations as they may desire to follow. The maimed and the broken will be protected, the widow and the orphan will be helped and cherished. </w:t>
      </w:r>
      <w:r>
        <w:rPr>
          <w:rFonts w:ascii="arial" w:eastAsia="arial" w:hAnsi="arial" w:cs="arial"/>
          <w:color w:val="000000"/>
          <w:sz w:val="20"/>
          <w:u w:val="single"/>
          <w:lang w:val="en-US" w:eastAsia="en-US" w:bidi="ar-SA"/>
        </w:rPr>
        <w:t>Duty and decency demand that those who are saving democracy shall not find democracy a house of privilege, or a school of poverty and hardship</w:t>
      </w: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Subsequently, Canadian veteran legislation included paragraphs reiterating the recognition by Canada of the Social Contract or Social Covenant and the obligation of the nation to be generous towards veterans and those who serve in the armed forces of the country. Examples are: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R.S.C., 1985, c. P-6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Construction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provisions of this Act shall be liberally construed and interpreted to the end that </w:t>
      </w:r>
      <w:r>
        <w:rPr>
          <w:rFonts w:ascii="arial" w:eastAsia="arial" w:hAnsi="arial" w:cs="arial"/>
          <w:color w:val="000000"/>
          <w:sz w:val="20"/>
          <w:u w:val="single"/>
          <w:lang w:val="en-US" w:eastAsia="en-US" w:bidi="ar-SA"/>
        </w:rPr>
        <w:t>the recognized obligation of the people and Government of Canada</w:t>
      </w:r>
      <w:r>
        <w:rPr>
          <w:rFonts w:ascii="arial" w:eastAsia="arial" w:hAnsi="arial" w:cs="arial"/>
          <w:color w:val="000000"/>
          <w:sz w:val="20"/>
          <w:lang w:val="en-US" w:eastAsia="en-US" w:bidi="ar-SA"/>
        </w:rPr>
        <w:t xml:space="preserve"> to provide compensation to those members of the forces who have been disabled or have died as a result of military service, and to their dependants, may be fulfilled.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War Veterans Allowance Act, R.S.C., 1985, c. W-3</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Construction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provisions of this Act shall be liberally construed and interpreted to the end that </w:t>
      </w:r>
      <w:r>
        <w:rPr>
          <w:rFonts w:ascii="arial" w:eastAsia="arial" w:hAnsi="arial" w:cs="arial"/>
          <w:color w:val="000000"/>
          <w:sz w:val="20"/>
          <w:u w:val="single"/>
          <w:lang w:val="en-US" w:eastAsia="en-US" w:bidi="ar-SA"/>
        </w:rPr>
        <w:t>the recognized obligation of the people and Government of Canada</w:t>
      </w:r>
      <w:r>
        <w:rPr>
          <w:rFonts w:ascii="arial" w:eastAsia="arial" w:hAnsi="arial" w:cs="arial"/>
          <w:color w:val="000000"/>
          <w:sz w:val="20"/>
          <w:lang w:val="en-US" w:eastAsia="en-US" w:bidi="ar-SA"/>
        </w:rPr>
        <w:t xml:space="preserve"> to those who have served their country so well and to their dependants may be fulfilled;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Veterans Review and Appeal Board Act, S.C. 1985, c. 18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Construction</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provisions of this Act and of any other Act of Parliament or of any regulations made under this or any other Act of Parliament conferring or imposing jurisdiction, powers, duties or functions on the Board shall be liberally construed and interpreted to the end </w:t>
      </w:r>
      <w:r>
        <w:rPr>
          <w:rFonts w:ascii="arial" w:eastAsia="arial" w:hAnsi="arial" w:cs="arial"/>
          <w:color w:val="000000"/>
          <w:sz w:val="20"/>
          <w:u w:val="single"/>
          <w:lang w:val="en-US" w:eastAsia="en-US" w:bidi="ar-SA"/>
        </w:rPr>
        <w:t>that the recognized obligation of the people and Government of Canada</w:t>
      </w:r>
      <w:r>
        <w:rPr>
          <w:rFonts w:ascii="arial" w:eastAsia="arial" w:hAnsi="arial" w:cs="arial"/>
          <w:color w:val="000000"/>
          <w:sz w:val="20"/>
          <w:lang w:val="en-US" w:eastAsia="en-US" w:bidi="ar-SA"/>
        </w:rPr>
        <w:t xml:space="preserve"> to those who have served their country so well and to their dependants may be fulfilled.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Covenant or Social Contract between Canada and those who serve has also been reflected in the representation of Canadian Forces recruiters who met with Class members prior to their enlistment, including</w:t>
      </w:r>
      <w:r>
        <w:rPr>
          <w:rFonts w:ascii="arial" w:eastAsia="arial" w:hAnsi="arial" w:cs="arial"/>
          <w:color w:val="000000"/>
          <w:sz w:val="20"/>
          <w:u w:val="single"/>
          <w:lang w:val="en-US" w:eastAsia="en-US" w:bidi="ar-SA"/>
        </w:rPr>
        <w:t xml:space="preserve"> representations that members of the Canadian Forces injured in their service would be fairly and adequately compensated</w:t>
      </w:r>
      <w:r>
        <w:rPr>
          <w:rFonts w:ascii="arial" w:eastAsia="arial" w:hAnsi="arial" w:cs="arial"/>
          <w:color w:val="000000"/>
          <w:sz w:val="20"/>
          <w:lang w:val="en-US" w:eastAsia="en-US" w:bidi="ar-SA"/>
        </w:rPr>
        <w:t>, such compensation including adequate provision for return to civilian life and adequate provision for the maintenance of the Member's spouse and children. These representations were relied upon by Class members and were critical to the individual Class members' decision to join the Canadian Forces.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Class members enlisted in the Canadian Forces at the time when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governed their compensation for injuries and disabilities but later found that they were to be awarded much less compensation under the New Veterans Charter.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disability pension was an essential condition of the relationship between members and the Canadian Forces following enlistment, as evidenced by its inclusion as a term in the Conditions of Service.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Conditions of Service were unilaterally changed by Parliament with the enactment of the New Veterans Charter during a period at which Canada was at war sustaining heavy casualties and injuries.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those who serve and have served Canada in the Canadian Forces at the risk of their lives, the Honour of the Crown is paramount because it is always assumed that the Crown intends to fulfill its promises, particularly promises such as the social covenant or contract between Canada and those who hazard their lives in its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foregoing assumed facts disclose a long standing and legislated recognition in Canada of the unique service and sacrifices of those who serve and have served in its armed forces. The Government of Canada represented to its armed forces its commitment to fairly and adequately compensate those members who were injured as well as their dependants. Indeed, the existence of a disability pension was an "essential condition of the relationship" following enlistment (amended notice of civil claim at para. 237).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argue that this long standing and legislated recognition amounts to a "Social Covenant" that, by virtue of the evolving legal doctrine known as the "Honour of the Crown", the defendant is honour bound to carry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For the purposes of this application, the defendant accepts that the Crown made this Social Covenant but denies the assertion that it has failed to carry it out. The defendant points out the plaintiffs were content with the compensation and other benefits previously available under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and it was only after the NVC was unanimously passed by all members of Parliament that the plaintiffs began to complain. It is therefore the change in government policy that is being attacked.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addition, the defendant points out that, in June 2010, the NVC was reviewed by the House of Commons Standing Committee on Veterans Affairs and was subsequently amended in October 2011 to provide for additional benefits as part of an ongoing attempt to improve the lot of veterans. Moreover, there is a statutory requirement for further comprehensive review that must be commenced before October 2013. The defendant submits that this is the proper vehicle for the review of any complaints the plaintiffs may have with the NVC, not a class action in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"Honour of the Crown" doctrine refers to the principle that servants of the Crown must conduct themselves with honour when acting on behalf of the sovereign: </w:t>
      </w:r>
      <w:r>
        <w:rPr>
          <w:rFonts w:ascii="arial" w:eastAsia="arial" w:hAnsi="arial" w:cs="arial"/>
          <w:i/>
          <w:color w:val="000000"/>
          <w:sz w:val="20"/>
          <w:lang w:val="en-US" w:eastAsia="en-US" w:bidi="ar-SA"/>
        </w:rPr>
        <w:t>Manitoba Métis Federation Inc. v. Canada (Attorney General)</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2013 SCC 14</w:t>
        </w:r>
      </w:hyperlink>
      <w:r>
        <w:rPr>
          <w:rFonts w:ascii="arial" w:eastAsia="arial" w:hAnsi="arial" w:cs="arial"/>
          <w:color w:val="000000"/>
          <w:sz w:val="20"/>
          <w:lang w:val="en-US" w:eastAsia="en-US" w:bidi="ar-SA"/>
        </w:rPr>
        <w:t xml:space="preserve"> at para 65. It gives rise to different duties in different circumstances: </w:t>
      </w:r>
      <w:r>
        <w:rPr>
          <w:rFonts w:ascii="arial" w:eastAsia="arial" w:hAnsi="arial" w:cs="arial"/>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2004 SCC 73</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Manitoba Métis Federation</w:t>
      </w:r>
      <w:r>
        <w:rPr>
          <w:rFonts w:ascii="arial" w:eastAsia="arial" w:hAnsi="arial" w:cs="arial"/>
          <w:color w:val="000000"/>
          <w:sz w:val="20"/>
          <w:lang w:val="en-US" w:eastAsia="en-US" w:bidi="ar-SA"/>
        </w:rPr>
        <w:t xml:space="preserve">, the Supreme Court of Canada stated that the Honour of the Crown is not a cause of action itself; rather, it speaks to how obligations that attract it must be fulfilled (para. 73). The case involved the allegation that the federal government breached its obligations owed to the Métis pursuant to the </w:t>
      </w:r>
      <w:r>
        <w:rPr>
          <w:rFonts w:ascii="arial" w:eastAsia="arial" w:hAnsi="arial" w:cs="arial"/>
          <w:i/>
          <w:color w:val="000000"/>
          <w:sz w:val="20"/>
          <w:lang w:val="en-US" w:eastAsia="en-US" w:bidi="ar-SA"/>
        </w:rPr>
        <w:t>Manitoba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Court concluded that s. 31 of the </w:t>
      </w:r>
      <w:r>
        <w:rPr>
          <w:rFonts w:ascii="arial" w:eastAsia="arial" w:hAnsi="arial" w:cs="arial"/>
          <w:i/>
          <w:color w:val="000000"/>
          <w:sz w:val="20"/>
          <w:lang w:val="en-US" w:eastAsia="en-US" w:bidi="ar-SA"/>
        </w:rPr>
        <w:t>Manitoba Act</w:t>
      </w:r>
      <w:r>
        <w:rPr>
          <w:rFonts w:ascii="arial" w:eastAsia="arial" w:hAnsi="arial" w:cs="arial"/>
          <w:color w:val="000000"/>
          <w:sz w:val="20"/>
          <w:lang w:val="en-US" w:eastAsia="en-US" w:bidi="ar-SA"/>
        </w:rPr>
        <w:t>, which provided for land grants to Métis children, created a constitutional obligation owed to the Métis and thereby engaged the Honour of the Crown. The government had promised that it would implement the s. 31 land grants in the most "effectual and equitable manner". The Court found the government failed to meet that promise and commented that a government sincerely intent on fulfilling the duty that its honour demanded "could and should have done better" (para. 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Honour of the Crown doctrine has been applied:</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giving rise to a fiduciary duty when the Crown assumes discretionary control over a specific Aboriginal interest: </w:t>
      </w:r>
      <w:r>
        <w:rPr>
          <w:rFonts w:ascii="arial" w:eastAsia="arial" w:hAnsi="arial" w:cs="arial"/>
          <w:i/>
          <w:color w:val="000000"/>
          <w:sz w:val="20"/>
          <w:lang w:val="en-US" w:eastAsia="en-US" w:bidi="ar-SA"/>
        </w:rPr>
        <w:t>Haida Nation</w:t>
      </w:r>
      <w:r>
        <w:rPr>
          <w:rFonts w:ascii="arial" w:eastAsia="arial" w:hAnsi="arial" w:cs="arial"/>
          <w:color w:val="000000"/>
          <w:sz w:val="20"/>
          <w:lang w:val="en-US" w:eastAsia="en-US" w:bidi="ar-SA"/>
        </w:rPr>
        <w:t>, at para. 18</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informing the purposive interpretation of s. 35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giving rise to a duty to consult when the Crown contemplates an action that will affect a claimed by as of yet unproven Aboriginal interest: </w:t>
      </w:r>
      <w:r>
        <w:rPr>
          <w:rFonts w:ascii="arial" w:eastAsia="arial" w:hAnsi="arial" w:cs="arial"/>
          <w:i/>
          <w:color w:val="000000"/>
          <w:sz w:val="20"/>
          <w:lang w:val="en-US" w:eastAsia="en-US" w:bidi="ar-SA"/>
        </w:rPr>
        <w:t>Haida Nation</w:t>
      </w:r>
      <w:r>
        <w:rPr>
          <w:rFonts w:ascii="arial" w:eastAsia="arial" w:hAnsi="arial" w:cs="arial"/>
          <w:color w:val="000000"/>
          <w:sz w:val="20"/>
          <w:lang w:val="en-US" w:eastAsia="en-US" w:bidi="ar-SA"/>
        </w:rPr>
        <w:t>, at para. 25;</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respect of treaty-making and implementation: </w:t>
      </w:r>
      <w:r>
        <w:rPr>
          <w:rFonts w:ascii="arial" w:eastAsia="arial" w:hAnsi="arial" w:cs="arial"/>
          <w:i/>
          <w:color w:val="000000"/>
          <w:sz w:val="20"/>
          <w:lang w:val="en-US" w:eastAsia="en-US" w:bidi="ar-SA"/>
        </w:rPr>
        <w:t>Mikisew Cree First Nation v. Canada (Minister of Canadian Heritage)</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2005 SCC 69</w:t>
        </w:r>
      </w:hyperlink>
      <w:r>
        <w:rPr>
          <w:rFonts w:ascii="arial" w:eastAsia="arial" w:hAnsi="arial" w:cs="arial"/>
          <w:color w:val="000000"/>
          <w:sz w:val="20"/>
          <w:lang w:val="en-US" w:eastAsia="en-US" w:bidi="ar-SA"/>
        </w:rPr>
        <w:t>, at para. 51; and</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require the Crown to act in a way that accomplishes the intended purpose of treaty and statutory grants to Aboriginal peoples: </w:t>
      </w:r>
      <w:r>
        <w:rPr>
          <w:rFonts w:ascii="arial" w:eastAsia="arial" w:hAnsi="arial" w:cs="arial"/>
          <w:i/>
          <w:color w:val="000000"/>
          <w:sz w:val="20"/>
          <w:lang w:val="en-US" w:eastAsia="en-US" w:bidi="ar-SA"/>
        </w:rPr>
        <w:t>R. v. Marshall</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1999 CanLII 665</w:t>
        </w:r>
      </w:hyperlink>
      <w:r>
        <w:rPr>
          <w:rFonts w:ascii="arial" w:eastAsia="arial" w:hAnsi="arial" w:cs="arial"/>
          <w:color w:val="000000"/>
          <w:sz w:val="20"/>
          <w:lang w:val="en-US" w:eastAsia="en-US" w:bidi="ar-SA"/>
        </w:rPr>
        <w:t xml:space="preserve"> (SCC)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No Canadian court has applied the doctrine of the Honour of the Crown outside of the Aboriginal context, although it was referenced in the context of the sale of land: </w:t>
      </w:r>
      <w:r>
        <w:rPr>
          <w:rFonts w:ascii="arial" w:eastAsia="arial" w:hAnsi="arial" w:cs="arial"/>
          <w:i/>
          <w:color w:val="000000"/>
          <w:sz w:val="20"/>
          <w:lang w:val="en-US" w:eastAsia="en-US" w:bidi="ar-SA"/>
        </w:rPr>
        <w:t>Doe dem. Henderson v. Westover</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(1852), 1 U.C.E. &amp; A. 465</w:t>
        </w:r>
      </w:hyperlink>
      <w:r>
        <w:rPr>
          <w:rFonts w:ascii="arial" w:eastAsia="arial" w:hAnsi="arial" w:cs="arial"/>
          <w:color w:val="000000"/>
          <w:sz w:val="20"/>
          <w:lang w:val="en-US" w:eastAsia="en-US" w:bidi="ar-SA"/>
        </w:rPr>
        <w:t xml:space="preserve"> (U.C.C.E.A. at 468) and in the context of statutory interpretation: </w:t>
      </w:r>
      <w:r>
        <w:rPr>
          <w:rFonts w:ascii="arial" w:eastAsia="arial" w:hAnsi="arial" w:cs="arial"/>
          <w:i/>
          <w:color w:val="000000"/>
          <w:sz w:val="20"/>
          <w:lang w:val="en-US" w:eastAsia="en-US" w:bidi="ar-SA"/>
        </w:rPr>
        <w:t>R. v. Belleau</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(1881), 7 S.C.R. 53</w:t>
        </w:r>
      </w:hyperlink>
      <w:r>
        <w:rPr>
          <w:rFonts w:ascii="arial" w:eastAsia="arial" w:hAnsi="arial" w:cs="arial"/>
          <w:color w:val="000000"/>
          <w:sz w:val="20"/>
          <w:lang w:val="en-US" w:eastAsia="en-US" w:bidi="ar-SA"/>
        </w:rPr>
        <w:t xml:space="preserve"> at 71 and </w:t>
      </w:r>
      <w:r>
        <w:rPr>
          <w:rFonts w:ascii="arial" w:eastAsia="arial" w:hAnsi="arial" w:cs="arial"/>
          <w:i/>
          <w:color w:val="000000"/>
          <w:sz w:val="20"/>
          <w:lang w:val="en-US" w:eastAsia="en-US" w:bidi="ar-SA"/>
        </w:rPr>
        <w:t>Windsor &amp; Annapolis Railway Co. v. R</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(1885), 10 S.C.R. 335</w:t>
        </w:r>
      </w:hyperlink>
      <w:r>
        <w:rPr>
          <w:rFonts w:ascii="arial" w:eastAsia="arial" w:hAnsi="arial" w:cs="arial"/>
          <w:color w:val="000000"/>
          <w:sz w:val="20"/>
          <w:lang w:val="en-US" w:eastAsia="en-US" w:bidi="ar-SA"/>
        </w:rPr>
        <w:t xml:space="preserve"> at 371. It was also referenced in England in the context of a criminal prosecution: </w:t>
      </w:r>
      <w:r>
        <w:rPr>
          <w:rFonts w:ascii="arial" w:eastAsia="arial" w:hAnsi="arial" w:cs="arial"/>
          <w:i/>
          <w:color w:val="000000"/>
          <w:sz w:val="20"/>
          <w:lang w:val="en-US" w:eastAsia="en-US" w:bidi="ar-SA"/>
        </w:rPr>
        <w:t>The King v. Garside and Mosley</w:t>
      </w:r>
      <w:r>
        <w:rPr>
          <w:rFonts w:ascii="arial" w:eastAsia="arial" w:hAnsi="arial" w:cs="arial"/>
          <w:color w:val="000000"/>
          <w:sz w:val="20"/>
          <w:lang w:val="en-US" w:eastAsia="en-US" w:bidi="ar-SA"/>
        </w:rPr>
        <w:t xml:space="preserve"> (1884) 2 A.D. &amp; E. 266, 111 E.R. 103 (K.B.) at p. 107: "We are not to presume that any promise made by the King even to the meanest and most criminal of his subjects will not be sacredly observed". These older decisions (two of which predate the Confederation of Canada) suggest that the Honour of the Crown doctrine has a lengthy history that extends beyond the Aboriginal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 argues that members of the armed forces do not have the same historical relationship with Canada that Aboriginal peoples do and that there is nothing analogous between the Aboriginal context and that of armed forces members. Moreover, it submits that the Honour of the Crown doctrine cannot be used to invalidate otherwise valid legislation. Parliament has the power to enact any law that falls within its legislative competence and is compliant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It says that the remedy for those who believe that legislation is unjust or unfair lies in the ballot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applied to the unique circumstances of Canada's Aboriginal peoples, the Honour of the Crown mandates that the Crown is bound to honour the historical promises it made to them. In my view, it is not plain and obvious that the same principle could not be found to bind the Crown in respect of the historical promises it made to the members of the armed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Members of the Canadian Forces bear a unique relationship with the Crown insofar as they are required by law to face injury or death to carry out the orders of their military commanders in furtherance of the policies determined by the Government of Canada. Casualties are anticipated and planned for by superior officers. Canadian Forces members are given no choice. They must obey the orders of their superiors to go into battle or face severe military sanctions. Indeed, until 1998 when the </w:t>
      </w:r>
      <w:r>
        <w:rPr>
          <w:rFonts w:ascii="arial" w:eastAsia="arial" w:hAnsi="arial" w:cs="arial"/>
          <w:i/>
          <w:color w:val="000000"/>
          <w:sz w:val="20"/>
          <w:lang w:val="en-US" w:eastAsia="en-US" w:bidi="ar-SA"/>
        </w:rPr>
        <w:t>National Defence Act</w:t>
      </w:r>
      <w:r>
        <w:rPr>
          <w:rFonts w:ascii="arial" w:eastAsia="arial" w:hAnsi="arial" w:cs="arial"/>
          <w:color w:val="000000"/>
          <w:sz w:val="20"/>
          <w:lang w:val="en-US" w:eastAsia="en-US" w:bidi="ar-SA"/>
        </w:rPr>
        <w:t xml:space="preserve"> was amended, the death penalty existed for several military offences such as showing cowardice before the enemy.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return for undertaking these onerous and often dangerous obligations, armed forces members were promised that they and their dependants would be fairly and adequately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Manitoba Métis Federation</w:t>
      </w:r>
      <w:r>
        <w:rPr>
          <w:rFonts w:ascii="arial" w:eastAsia="arial" w:hAnsi="arial" w:cs="arial"/>
          <w:color w:val="000000"/>
          <w:sz w:val="20"/>
          <w:lang w:val="en-US" w:eastAsia="en-US" w:bidi="ar-SA"/>
        </w:rPr>
        <w:t>, the Supreme Court of Canada fashioned a new constitutional obligation derived from the Honour of the Crown albeit within the Aboriginal context. It appears to me that this doctrine may well be an evolving one. On the facts as pleaded, I cannot find it is plain and obvious that the Honour of the Crown doctrine could never be extended to impose an obligation on the Crown to fulfill the Social Covenant it made to its armed forces despite changes in government policy. It is conceivable that the promise to provide suitable and adequate care for the armed forces and their families meets the threshold of an overarching reconciliation of interests that engages the Honour of the Crown. The issue is an important one that is deserving of full inquiry and should appropriately be left for determination after a trial on the merits.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Public Law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seek a declaration that, by virtue of the unique relationship between the Crown and the Canadian Forces members and veterans, the Crown owes them a public law duty to exercise its legislative functions in a manner that is consistent with the Social Covenant. They also seek a declaration that the defendant has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 submits the Supreme Court of Canada has repeatedly held that no cause of action can be founded upon a breach of a public law duty and that a breach of a public law duty is unknown in law, relying on </w:t>
      </w:r>
      <w:r>
        <w:rPr>
          <w:rFonts w:ascii="arial" w:eastAsia="arial" w:hAnsi="arial" w:cs="arial"/>
          <w:i/>
          <w:color w:val="000000"/>
          <w:sz w:val="20"/>
          <w:lang w:val="en-US" w:eastAsia="en-US" w:bidi="ar-SA"/>
        </w:rPr>
        <w:t>R. v. Saskatchewan Wheat Pool</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at 225, </w:t>
      </w:r>
      <w:r>
        <w:rPr>
          <w:rFonts w:ascii="arial" w:eastAsia="arial" w:hAnsi="arial" w:cs="arial"/>
          <w:i/>
          <w:color w:val="000000"/>
          <w:sz w:val="20"/>
          <w:lang w:val="en-US" w:eastAsia="en-US" w:bidi="ar-SA"/>
        </w:rPr>
        <w:t>Pasiechnyk v. Saskatchewan (Workers' Compensation Board)</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[1997] 2 S.C.R. 890</w:t>
        </w:r>
      </w:hyperlink>
      <w:r>
        <w:rPr>
          <w:rFonts w:ascii="arial" w:eastAsia="arial" w:hAnsi="arial" w:cs="arial"/>
          <w:color w:val="000000"/>
          <w:sz w:val="20"/>
          <w:lang w:val="en-US" w:eastAsia="en-US" w:bidi="ar-SA"/>
        </w:rPr>
        <w:t xml:space="preserve"> at para. 49 and </w:t>
      </w:r>
      <w:r>
        <w:rPr>
          <w:rFonts w:ascii="arial" w:eastAsia="arial" w:hAnsi="arial" w:cs="arial"/>
          <w:i/>
          <w:color w:val="000000"/>
          <w:sz w:val="20"/>
          <w:lang w:val="en-US" w:eastAsia="en-US" w:bidi="ar-SA"/>
        </w:rPr>
        <w:t>Kamloops (City) v. Nielsen</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at 35. On this basis, the defendant argues the plaintiffs' claims in this regard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None of those decisions support the bold proposition put forward by the defendant. In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xml:space="preserve">, the issue was whether a breach of a statutory duty gave rise to a civil cause of action. In </w:t>
      </w:r>
      <w:r>
        <w:rPr>
          <w:rFonts w:ascii="arial" w:eastAsia="arial" w:hAnsi="arial" w:cs="arial"/>
          <w:i/>
          <w:color w:val="000000"/>
          <w:sz w:val="20"/>
          <w:lang w:val="en-US" w:eastAsia="en-US" w:bidi="ar-SA"/>
        </w:rPr>
        <w:t>Pasiechnyk</w:t>
      </w:r>
      <w:r>
        <w:rPr>
          <w:rFonts w:ascii="arial" w:eastAsia="arial" w:hAnsi="arial" w:cs="arial"/>
          <w:color w:val="000000"/>
          <w:sz w:val="20"/>
          <w:lang w:val="en-US" w:eastAsia="en-US" w:bidi="ar-SA"/>
        </w:rPr>
        <w:t xml:space="preserve">, the issue was whether a civil action against the government alleging it failed to meet its duties under the Saskatchewan </w:t>
      </w:r>
      <w:r>
        <w:rPr>
          <w:rFonts w:ascii="arial" w:eastAsia="arial" w:hAnsi="arial" w:cs="arial"/>
          <w:i/>
          <w:color w:val="000000"/>
          <w:sz w:val="20"/>
          <w:lang w:val="en-US" w:eastAsia="en-US" w:bidi="ar-SA"/>
        </w:rPr>
        <w:t>Occupational Health and Safety Act</w:t>
      </w:r>
      <w:r>
        <w:rPr>
          <w:rFonts w:ascii="arial" w:eastAsia="arial" w:hAnsi="arial" w:cs="arial"/>
          <w:color w:val="000000"/>
          <w:sz w:val="20"/>
          <w:lang w:val="en-US" w:eastAsia="en-US" w:bidi="ar-SA"/>
        </w:rPr>
        <w:t xml:space="preserve"> was barred by the Saskatchewan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the issue was whether pure economic loss was recoverable against a negligent building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 also relies on the decision of this court in </w:t>
      </w:r>
      <w:r>
        <w:rPr>
          <w:rFonts w:ascii="arial" w:eastAsia="arial" w:hAnsi="arial" w:cs="arial"/>
          <w:i/>
          <w:color w:val="000000"/>
          <w:sz w:val="20"/>
          <w:lang w:val="en-US" w:eastAsia="en-US" w:bidi="ar-SA"/>
        </w:rPr>
        <w:t>Bingo City Games Inc. v. BC Lottery Corp.</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2003 BCSC 637</w:t>
        </w:r>
      </w:hyperlink>
      <w:r>
        <w:rPr>
          <w:rFonts w:ascii="arial" w:eastAsia="arial" w:hAnsi="arial" w:cs="arial"/>
          <w:color w:val="000000"/>
          <w:sz w:val="20"/>
          <w:lang w:val="en-US" w:eastAsia="en-US" w:bidi="ar-SA"/>
        </w:rPr>
        <w:t>. There, the plaintiffs claimed that the British Columbia Lottery Corp. was in breach of its "public duty of care" when it divested charities of their responsibilities to manage bingo operations. The pleading in support of that assertion stated:</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have a public law duty of care to conduct business, or to act, in furtherance of the creation of or implementation of public policy, in a reasonable manner, bona fide in the exercise of statutory authority, and not to act unlawfully or contrary to the public interest, or in a manner which abuses the public confidence or trust.</w:t>
      </w:r>
    </w:p>
    <w:p>
      <w:pPr>
        <w:numPr>
          <w:numId w:val="3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breached their public law duty of care in the conduct of business or in their actions in furtherance of public policy, by acting unreasonably, without regard to bona fides, in the exercise of purported exercise of statutory authority, by acting unlawfully or contrary to the public interest, or in a manner which breached public confidence or trust, by imposing the BOSA unlawfully, by approving the BCA relocation negligently or contrary to the law, by making negligent misrepresentations and by abusing economic power in their dealings with the Plaintiff BCG.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 authority was provided in support of a cause of action founded on a "breach of public law duty" and the court concluded "there is no such beast" (para. 56). It struck the claims on that basis and also because they were an unnecessary "exercise in rhetoric"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order to establish the existence of a duty of care, the plaintiff must prove that :</w:t>
      </w:r>
      <w:r>
        <w:rPr>
          <w:rFonts w:ascii="arial" w:eastAsia="arial" w:hAnsi="arial" w:cs="arial"/>
          <w:sz w:val="20"/>
          <w:lang w:val="en-US" w:eastAsia="en-US" w:bidi="ar-SA"/>
        </w:rPr>
        <w:cr/>
      </w:r>
    </w:p>
    <w:p>
      <w:pPr>
        <w:numPr>
          <w:numId w:val="4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facts disclose a relationship of proximity in which failure to take reasonable care might foreseeably cause loss or harm to the plaintiff, creating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and</w:t>
      </w:r>
    </w:p>
    <w:p>
      <w:pPr>
        <w:numPr>
          <w:numId w:val="4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residual policy concerns that ought to negate or limit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duty of care may also arise by way of precedent. The courts have developed "categories" where specific types of relationships are recognized as giving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am unaware of any authority recognizing the existence of a "public" duty of care between veterans and members of the Canadian Forces and the Crown and none was provided to me. This is not surprising given that an argument for a public duty of care fails on both stages of the duty of care analysis, in view of the reasons of the Supreme Court of Canada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Imperial Tobacco was a defendant in two actions, one involving a claim by the British Columbia government seeking to recover the cost of paying for the medical treatment of individuals suffering from tobacco-related illnesses and the other involving a class action brought by consumers of light or mild cigarettes for the misleading nature of their packaging. Imperial Tobacco commenced third party proceedings against the federal Crown, alleging that it negligently misrepresented the health attributes of low-tar cigarettes to consumers and was therefore liable to Imperial Tobacco on the basis of contribution and indemnity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It further alleged the federal Crown negligently misrepresented the health attributes of low-tar cigarettes to tobacco companies and on that basis was liable to those companies in the event of their loss in the two actions. The federal Crown successfully applied to strike the negligent misrepresentation claims. The decision was overturned by the British Columbia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McLachlin C.J.C., writing for the Court, first considered whether the facts as pleaded brought either claim within a recognized duty of care category. She concluded there was no example of a government being held liable for negligent misrepresentation to an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McLachlin C.J.C. then considered whether a duty of care nevertheless existed on the basis of the two-stage test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which was adopted into Canadian law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paras. 25, 29 - 39.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On the proximity stage of the analysis, McLachlin C.J.C. found that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existed with respect to the class members. Sufficient proximity between a person and government can only be found in circumstances where there is a statutory scheme giving rise to this duty of care, either expressly or by implication, or by way of specific interactions between the claimant and government (and the duty is not negated by statute)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McLachlin C.J.C. noted that, as there were no specific interactions between Canada and members of the class proceeding, the duty of care could only arise by way of governing statutes (para. 49). She found that the relevant statutes established only general duties to the public, </w:t>
      </w:r>
      <w:r>
        <w:rPr>
          <w:rFonts w:ascii="arial" w:eastAsia="arial" w:hAnsi="arial" w:cs="arial"/>
          <w:color w:val="000000"/>
          <w:sz w:val="20"/>
          <w:u w:val="single"/>
          <w:lang w:val="en-US" w:eastAsia="en-US" w:bidi="ar-SA"/>
        </w:rPr>
        <w:t>and no private law duties to particular consumers</w:t>
      </w:r>
      <w:r>
        <w:rPr>
          <w:rFonts w:ascii="arial" w:eastAsia="arial" w:hAnsi="arial" w:cs="arial"/>
          <w:color w:val="000000"/>
          <w:sz w:val="20"/>
          <w:lang w:val="en-US" w:eastAsia="en-US" w:bidi="ar-SA"/>
        </w:rPr>
        <w:t xml:space="preserve"> (para. 50). In regard to those statutes, she cited from Mr. Justice Sharpe's reasons in </w:t>
      </w:r>
      <w:r>
        <w:rPr>
          <w:rFonts w:ascii="arial" w:eastAsia="arial" w:hAnsi="arial" w:cs="arial"/>
          <w:i/>
          <w:color w:val="000000"/>
          <w:sz w:val="20"/>
          <w:lang w:val="en-US" w:eastAsia="en-US" w:bidi="ar-SA"/>
        </w:rPr>
        <w:t>Eliopoulos Estate v. Ontario (Minister of Health and Long-Term Care)</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(2006), 276 D.L.R. (4th) 411</w:t>
        </w:r>
      </w:hyperlink>
      <w:r>
        <w:rPr>
          <w:rFonts w:ascii="arial" w:eastAsia="arial" w:hAnsi="arial" w:cs="arial"/>
          <w:color w:val="000000"/>
          <w:sz w:val="20"/>
          <w:lang w:val="en-US" w:eastAsia="en-US" w:bidi="ar-SA"/>
        </w:rPr>
        <w:t xml:space="preserve"> (O.N.C.A.)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fail to see how it could be possible to convert any of the Minister's public law discretionary powers, to be exercised in the general public interest, into private law duties owed to specific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However, McLachlin C.J.C. did find there was sufficient proximity between the federal Crown and the tobacco companies to find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representations had been specifically made to these manufacturers in the course of Health Canada's regulatory and other activities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any event, on the second stage of the analysis, McLachlin C.J.C. found that there were policy concerns to justify negating the existence of a duty of care between the federal government and the tobacco companies. She found the representations made to the tobacco companies were matters of government policy. "Core" government policy decisions are not justiciable and cannot give rise to tort liability, as opposed to operational decisions (para. 85). Core policy decisions are decisions made by legislators or officers whose official responsibility requires them to assess and balance public policy considerations. McLachlin C.J.C. further held at para.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weighing of social, economic, and political considerations to arrive at a course or principle of action is the proper role of government, not the courts. For this reason, decisions and conduct based on these considerations cannot ground an 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note that operational decisions were defined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as the implementation of policy decisions (see paras. 18 and 19). McLachlin C.J.C. attempted to do away with the ambiguity arising from this attempt to distinguish between policy and operational decisions by focusing her analysis upon defining "core" policy decisions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It is clear from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that a cause of action based on a "public duty of care" does not exist. There can only be a private duty of care imposed on a public authority. Proximity will be established by way of a statutory provision giving rise to a private duty of care or by way of specific interactions between the parties, such that the harm arising from a negligent act would be foreseeable to the public authority. Further the government's decision must come within the realm of operational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government may, in certain circumstances, be found to owe a duty of care; it is not immune from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as stated in Allen Linden and Bruce Feldthusen's text,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9th ed. (Markham: LexisNexis Canada, 2011) at 660, "the Crown may only be liable in tort to the extent that it consents to be so." The reason for this limitation on liability with respect to public authorities is obvious: public authorities enjoy unique powers that are distinct from the circumstances of private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 duty of care will only be found in specific circumstances that are analogous to the relationship between private citizens. In this way, the duty of care is properly characterized as private, rather than public. To characterize it otherwise would be to expose the government to expansive liability. It would also conflict with its obligation to act in the best interest of society as a whole, which requires that it balance different (even competing) interests. This is precisely why the courts have instructed that no duty of care will be found when the government is making a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my view, it is plain and obvious that a cause of action grounded in a public duty of care has no prospect of success and is bound to fail on the proximity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However, I am bound to consider the defendant's application on the basis of the pleadings as they stand or might be amended: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at 68. The plaintiffs may amend their claim to plead that the defendant owed them a private law duty of care to recognize and give effect to the Social Covenant. In light of my findings with respect to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set out below, it is not plain and obvious that s. 9 would bar such a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Supreme Court of Canada has recently made it clear that the range of cases in which a fiduciary duty on the government is found will be limited and that plaintiffs suing for breach of such a duty must be prepared to have their claims tested at the pleadings stage: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Here the plaintiffs allege that:</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as is the case with those who serve and have served, including the Plaintiffs and proposed Class members, the Crown has assumed discretionary control over specific interest, the Honour of the Crown gives rise to a fiduciary duty in relation to specific interests flowing from their service to the country.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duty arising from the Honour of the Crown requires the Crown to keep the promises that Canada has made in its Social Covenant of Social Contract with those who serve.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ministerial discretion is validly granted to the Minister, the Plaintiffs plead that because of the unique power that the Minister and Defendant exercises with respect to the Class members, and the peculiar vulnerability of the Class members, the Defendants [sic] owe a duty to the Class to avoid conflicts of interest and to act in the best interests of the Class and plead that each of the Class members stands in a relationship of trust and confidence with the Minister and the Defendant.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at all times knew, or ought to have known, that the Class members were relying upon them to care for them, to protect their right and entitlement to the services and benefits required by Canada's covenant to those who serve in the Canadian Forces and the Honour of the Crown, and to act in their best interests.</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this relationship of trust and confidence, the Defendant owes a fiduciary duty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question is whether this pleading, in the context of the facts pleaded in the amended notice of civil claim as a whole, discloses a supportable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leading authority on fiduciary duty claims against public authorities is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The Supreme Court of Canada clarified when the law imposes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duty upon the Crown. The plaintiffs were a large group of elderly residents of Alberta's long-term care facilities. They alleged the government had artificially inflated the accommodation charges to the residents in order to subsidize the medical expense costs which were the responsibility of the government. The government applied to strike the various claims, including a claim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Supreme Court of Canada summarized the general requirements for imposition of a fiduciary duty in cases not covered by an existing category in which fiduciary duties have been recognized at para 36:</w:t>
      </w:r>
      <w:r>
        <w:rPr>
          <w:rFonts w:ascii="arial" w:eastAsia="arial" w:hAnsi="arial" w:cs="arial"/>
          <w:sz w:val="20"/>
          <w:lang w:val="en-US" w:eastAsia="en-US" w:bidi="ar-SA"/>
        </w:rPr>
        <w:cr/>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vulnerability arising from the relationship (established by way of the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test):</w:t>
      </w:r>
    </w:p>
    <w:p>
      <w:pPr>
        <w:numPr>
          <w:numId w:val="5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fiduciary has scope for the exercise of some discretion or power;</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fiduciary can unilaterally exercise that power or discretion so as to affect the beneficiary's legal or practical interests; and</w:t>
      </w:r>
    </w:p>
    <w:p>
      <w:pPr>
        <w:numPr>
          <w:numId w:val="6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beneficiary is peculiarly vulnerable to or at the mercy of the alleged fiduciary holding the discretion or power;</w:t>
      </w:r>
    </w:p>
    <w:p>
      <w:pPr>
        <w:numPr>
          <w:numId w:val="7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undertaking by the alleged fiduciary to act in the best interests of the alleged beneficiary or beneficiaries;</w:t>
      </w:r>
    </w:p>
    <w:p>
      <w:pPr>
        <w:numPr>
          <w:numId w:val="7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defined person or class of persons vulnerable to a fiduciary's control; and</w:t>
      </w:r>
    </w:p>
    <w:p>
      <w:pPr>
        <w:numPr>
          <w:numId w:val="7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legal or substantial practical interest of the beneficiary or beneficiaries that stands to be adversely affected by the alleged fiduciary's exercise of discretion.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view, it is not plain and obvious that the plaintiffs will be unable to demonstrate the three hallmarks of vulnerability, as set out above. The Crown has wide scope for the exercise of discretion and power over the interests of Canadian Forces members and veterans.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 fiduciary duty may arise from an undertaking to act in the best interests of the alleged beneficiary whose legal or practical interests are vulnerable to the alleged fiduciary's control: </w:t>
      </w:r>
      <w:r>
        <w:rPr>
          <w:rFonts w:ascii="arial" w:eastAsia="arial" w:hAnsi="arial" w:cs="arial"/>
          <w:i/>
          <w:color w:val="000000"/>
          <w:sz w:val="20"/>
          <w:lang w:val="en-US" w:eastAsia="en-US" w:bidi="ar-SA"/>
        </w:rPr>
        <w:t>Manitoba Metis Federation</w:t>
      </w:r>
      <w:r>
        <w:rPr>
          <w:rFonts w:ascii="arial" w:eastAsia="arial" w:hAnsi="arial" w:cs="arial"/>
          <w:color w:val="000000"/>
          <w:sz w:val="20"/>
          <w:lang w:val="en-US" w:eastAsia="en-US" w:bidi="ar-SA"/>
        </w:rPr>
        <w:t>,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Supreme Court of Canada noted in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that the existence and character of the undertaking are informed by the norms relating to the particular relationship. However, the Court also found that "[t]he party asserting the duty must be able to point to a forsaking by the alleged fiduciary of the interests of all others in favour of those of the beneficiary, in relation to the specific legal interest at stake"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duty in question is one of utmost loyalty to the beneficiary. Where a government is exercising its power or discretion, the circumstances in which it will be found to have undertaken to act in the best interests of the alleged beneficiary will be extremely rare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paras. 42 and 43). As noted by the Court, the duty is particularly difficult to prove in relation to the Crown as it is the Crown's duty to act in the best interests of society as a whole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para. 44). If the undertaking allegedly flows from statute, the language in the legislation must clearly support it. It may also flow from the nature of the parties' relationship and should be determined by focussing on analogous cases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paras. 45 - 46).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Notwithstanding the foregoing, in my view, it is not plain and obvious that the plaintiffs will be unable to demonstrate the Crown gave an undertaking of utmost loyalty and responsibility, express or implied, to ensure that Canadian Forces members and veterans would be provided suitable and adequate care and compensation for their service to their county. That undertaking was first made by Prime Minister Borden on behalf of the country as Canadian troops prepared for the Battle of Vimy Ridge in 1917 and was repeated and perpetuated in subsequent statements in Parliament, Royal Commissions, Reports of Standing Committees and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assumed facts arguably disclose that the Crown solemnly undertook to act in the best interests of injured veterans upon their return from battle even if it meant putting veterans' interests before those of the Crown and its citizens. That makes sense when one considers that it is the Canadian Forces members and veterans who fought and in many cases died and continue to fight and die for the freedom of all Canadians and the fundamental principles that all Canadian citizens treasure.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 Defined Person or Class of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Canadian Forces members and veterans injured during service clearly meet the test of a defined person or class of persons.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 Legal or Substantial Practical Interest that Stands to be Adversely Affected by the Alleged Fiduciary's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made it clear that access to a benefit scheme without more will not constitute an interest giving rise to a fiduciary duty. Such a benefit is a creation of public law and is subject to the government's public law obligations in the administration of the scheme (para 52). The degree of control exerted by the government over the interest in question must be equivalent or analogous to direct administration of that interest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specific fiduciary duty that the plaintiffs seek to establish is not about the legislation of a benefit and service scheme for injured armed forces members and veterans. Rather, it encompasses an overarching obligation on the part of the Crown to keep the promises it made to them that, in return for their services and sacrifices, the government would ensure that they and their dependents received adequate services, assistance and compensation should they become injured or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disagree with the defendant's submissions that the plaintiffs have failed to articulate a specific interest being affected. The interest that is affected, as pleaded, is an injured veteran's ability to meaningfully survive after discharge. While I accept that imposing a fiduciary duty on the Crown is inherently at odds with its duty to act in the best interests of society as a whole, I do not accept that, in the circumstances of this case, it is plain and obvious a court will decide a fiduciary duty cannot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Clearly, veterans' specific interests to meaningfully survive were and are vulnerable to the Crown's control. In the words of plaintiffs' counsel they are "left to the whim of the Crown's veterans' disability pension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are several examples of the courts refusing to strike claims against the Crown alleging breach of fiduciary duty in the context of veterans.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Duplessis v. Canada</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(2000), 197 FTR 87</w:t>
        </w:r>
      </w:hyperlink>
      <w:r>
        <w:rPr>
          <w:rFonts w:ascii="arial" w:eastAsia="arial" w:hAnsi="arial" w:cs="arial"/>
          <w:color w:val="000000"/>
          <w:sz w:val="20"/>
          <w:lang w:val="en-US" w:eastAsia="en-US" w:bidi="ar-SA"/>
        </w:rPr>
        <w:t xml:space="preserve"> (affirmed </w:t>
      </w:r>
      <w:hyperlink r:id="rId858" w:history="1">
        <w:r>
          <w:rPr>
            <w:rFonts w:ascii="arial" w:eastAsia="arial" w:hAnsi="arial" w:cs="arial"/>
            <w:i/>
            <w:color w:val="0077CC"/>
            <w:sz w:val="20"/>
            <w:u w:val="single"/>
            <w:shd w:val="clear" w:color="auto" w:fill="FFFFFF"/>
            <w:lang w:val="en-US" w:eastAsia="en-US" w:bidi="ar-SA"/>
          </w:rPr>
          <w:t>2001 FCT 1038</w:t>
        </w:r>
      </w:hyperlink>
      <w:r>
        <w:rPr>
          <w:rFonts w:ascii="arial" w:eastAsia="arial" w:hAnsi="arial" w:cs="arial"/>
          <w:color w:val="000000"/>
          <w:sz w:val="20"/>
          <w:lang w:val="en-US" w:eastAsia="en-US" w:bidi="ar-SA"/>
        </w:rPr>
        <w:t xml:space="preserve">), a Canadian Forces veteran suffering from post-traumatic stress disorder claimed that the callous and arbitrary treatment he received upon his return from active duty overseas amounted,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to a breach by the government of its fiduciary duty owed to him. The Court held that there was a serious question of law as to whether or not a fiduciary duty existed. That question was more appropriately left for determination at a trial on the merits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Cross v. Sullivan</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2003 CanLII 44082</w:t>
        </w:r>
      </w:hyperlink>
      <w:r>
        <w:rPr>
          <w:rFonts w:ascii="arial" w:eastAsia="arial" w:hAnsi="arial" w:cs="arial"/>
          <w:color w:val="000000"/>
          <w:sz w:val="20"/>
          <w:lang w:val="en-US" w:eastAsia="en-US" w:bidi="ar-SA"/>
        </w:rPr>
        <w:t xml:space="preserve"> (OSC), the plaintiff was a former Canadian Forces member who filed a successful grievance regarding alleged deficiencies in his performance. He alleged that members of the military had conspired against him in respect of the unfavourable assessments of his performance. He sought leave to amend his statement of claim to allege,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breach by the Crown of its fiduciary duty owed to him. After reviewing the decision in </w:t>
      </w:r>
      <w:r>
        <w:rPr>
          <w:rFonts w:ascii="arial" w:eastAsia="arial" w:hAnsi="arial" w:cs="arial"/>
          <w:i/>
          <w:color w:val="000000"/>
          <w:sz w:val="20"/>
          <w:lang w:val="en-US" w:eastAsia="en-US" w:bidi="ar-SA"/>
        </w:rPr>
        <w:t>Duplessis</w:t>
      </w:r>
      <w:r>
        <w:rPr>
          <w:rFonts w:ascii="arial" w:eastAsia="arial" w:hAnsi="arial" w:cs="arial"/>
          <w:color w:val="000000"/>
          <w:sz w:val="20"/>
          <w:lang w:val="en-US" w:eastAsia="en-US" w:bidi="ar-SA"/>
        </w:rPr>
        <w:t>, the court allowed the application,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Crown has given no legal authority which deals with the relationship or possibly the special relationship between a member of the Armed Forces and the Crown and the Armed Forces.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these circumstances, I conclude that it is not beyond all doubt that the claim is clearly impossible to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Stopford v. Canada</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2001 FCT 887</w:t>
        </w:r>
      </w:hyperlink>
      <w:r>
        <w:rPr>
          <w:rFonts w:ascii="arial" w:eastAsia="arial" w:hAnsi="arial" w:cs="arial"/>
          <w:color w:val="000000"/>
          <w:sz w:val="20"/>
          <w:lang w:val="en-US" w:eastAsia="en-US" w:bidi="ar-SA"/>
        </w:rPr>
        <w:t xml:space="preserve">, the plaintiff was a member of the Canadian Forces and had served in a number of overseas locations. In the course of his duties in Croatia, he was exposed to hazardous materials. Upon his return to Canada, he began exhibiting symptoms that eventually led to his discharge from duty as he was determined to be medically unfit. He claimed that Canada had breached a fiduciary duty owed to him by the manner in which his disability claim was handled. The court noted that the categories giving rise to a fiduciary duty remained open (para. 26). The court further noted Mr. Justice Dickson's attempt in </w:t>
      </w:r>
      <w:r>
        <w:rPr>
          <w:rFonts w:ascii="arial" w:eastAsia="arial" w:hAnsi="arial" w:cs="arial"/>
          <w:i/>
          <w:color w:val="000000"/>
          <w:sz w:val="20"/>
          <w:lang w:val="en-US" w:eastAsia="en-US" w:bidi="ar-SA"/>
        </w:rPr>
        <w:t>Guerin v. Canada</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 384 - 385 (para. 27) to articulate a broad definition of fiduciary duty based on the nature of the relationship at issue and not the actors involved. The court concluded that it was not plain and obvious the claim would fail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Counsel for the defendant submits that, even assuming a fiduciary duty could exist in the circumstances outlined in the plaintiffs' pleadings, no facts have been pleaded to support a finding that the defendant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amended notice of civil claim pleads,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numPr>
          <w:numId w:val="7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injured Canadian Forces members and veterans "have been provided with a total financial compensation package [under] the New Veterans Charter that is insufficient to maintain a normal lifestyle for those of similar employment background in Canadian society" (para. 339);</w:t>
      </w:r>
    </w:p>
    <w:p>
      <w:pPr>
        <w:numPr>
          <w:numId w:val="7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of the class who are Reserve Force members recently injured in Afghanistan are not adequately compensated for their life-time reduction in earning capacity (para. 340); and</w:t>
      </w:r>
    </w:p>
    <w:p>
      <w:pPr>
        <w:numPr>
          <w:numId w:val="7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NVC arbitrarily assesses disabilities and artificially caps financial recovery of catastrophically injured members: (para. 349)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issue in this case is whether Parliament, in passing the NVC and in the face of its admitted Social Covenant and undertaking to sufficiently provide for injured veterans, can do otherwise in furtherance of a change in government policy. That issue is worthy of a full trial on the merits.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 s.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Section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Every individual is equal before and under the law and has the right to equal protection and equal benefit of the law, without discrimination and, in particular, without discrimination based on race, national or ethnic origin, colour, religion, sex, age or mental or physical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plaintiffs allege at para. 391 of the amended notice of civil claim that the "arbitrary, sub-standard and inadequate support and compensation scheme(s) established by the defendant under the New Veterans Charter violate the equality rights of the plaintiffs and the class protected under s. 15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in a manner that is inconsistent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parties agree that, in order to succeed on this aspect of their claim, the plaintiffs must establish that (a) the law in question creates an adverse distinction based on an enumerated or an analogous ground and (b) the impact of the distinction perpetuates disadvantage, prejudice or stereotyping: </w:t>
      </w:r>
      <w:r>
        <w:rPr>
          <w:rFonts w:ascii="arial" w:eastAsia="arial" w:hAnsi="arial" w:cs="arial"/>
          <w:i/>
          <w:color w:val="000000"/>
          <w:sz w:val="20"/>
          <w:lang w:val="en-US" w:eastAsia="en-US" w:bidi="ar-SA"/>
        </w:rPr>
        <w:t>Quebec (Attorney General) v. A</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2013 SCC 5</w:t>
        </w:r>
      </w:hyperlink>
      <w:r>
        <w:rPr>
          <w:rFonts w:ascii="arial" w:eastAsia="arial" w:hAnsi="arial" w:cs="arial"/>
          <w:color w:val="000000"/>
          <w:sz w:val="20"/>
          <w:lang w:val="en-US" w:eastAsia="en-US" w:bidi="ar-SA"/>
        </w:rPr>
        <w:t xml:space="preserve"> at para 324. Whether or not the plaintiffs succeed will be determined on the basis of a flexible and contextual inquiry into whether a distinction has the effect of perpetuating arbitrary disadvantage because of their membership in an enumerated or analogous ground: </w:t>
      </w:r>
      <w:r>
        <w:rPr>
          <w:rFonts w:ascii="arial" w:eastAsia="arial" w:hAnsi="arial" w:cs="arial"/>
          <w:i/>
          <w:color w:val="000000"/>
          <w:sz w:val="20"/>
          <w:lang w:val="en-US" w:eastAsia="en-US" w:bidi="ar-SA"/>
        </w:rPr>
        <w:t>Quebec v. A.</w:t>
      </w:r>
      <w:r>
        <w:rPr>
          <w:rFonts w:ascii="arial" w:eastAsia="arial" w:hAnsi="arial" w:cs="arial"/>
          <w:color w:val="000000"/>
          <w:sz w:val="20"/>
          <w:lang w:val="en-US" w:eastAsia="en-US" w:bidi="ar-SA"/>
        </w:rPr>
        <w:t xml:space="preserve"> at para. 331. For the purpose of this application, I must determine whether the pleadings, accepted as true, disclose a reasonable cause of action, considering these requirements succinctly set out in </w:t>
      </w:r>
      <w:r>
        <w:rPr>
          <w:rFonts w:ascii="arial" w:eastAsia="arial" w:hAnsi="arial" w:cs="arial"/>
          <w:i/>
          <w:color w:val="000000"/>
          <w:sz w:val="20"/>
          <w:lang w:val="en-US" w:eastAsia="en-US" w:bidi="ar-SA"/>
        </w:rPr>
        <w:t>Quebec v. 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Does the NVC Create a Distinction Based on an Analogous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defendant argues that the plaintiffs' claim is devoid of any plea of material facts that would support this aspect of the </w:t>
      </w:r>
      <w:r>
        <w:rPr>
          <w:rFonts w:ascii="arial" w:eastAsia="arial" w:hAnsi="arial" w:cs="arial"/>
          <w:i/>
          <w:color w:val="000000"/>
          <w:sz w:val="20"/>
          <w:lang w:val="en-US" w:eastAsia="en-US" w:bidi="ar-SA"/>
        </w:rPr>
        <w:t>Quebec v. A.</w:t>
      </w:r>
      <w:r>
        <w:rPr>
          <w:rFonts w:ascii="arial" w:eastAsia="arial" w:hAnsi="arial" w:cs="arial"/>
          <w:color w:val="000000"/>
          <w:sz w:val="20"/>
          <w:lang w:val="en-US" w:eastAsia="en-US" w:bidi="ar-SA"/>
        </w:rPr>
        <w:t xml:space="preserve"> test. It points out that basing a s. 15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on a temporal distinction, as the plaintiffs appear to do in contrasting their treatment under the NVC with the treatment of Canadian Forces members and veterans who were disabled during their military service prior to April 1, 2006 and who are entitled to benefits pursuant to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is fatal. As noted by Professor Hogg in his text </w:t>
      </w:r>
      <w:r>
        <w:rPr>
          <w:rFonts w:ascii="arial" w:eastAsia="arial" w:hAnsi="arial" w:cs="arial"/>
          <w:i/>
          <w:color w:val="000000"/>
          <w:sz w:val="20"/>
          <w:lang w:val="en-US" w:eastAsia="en-US" w:bidi="ar-SA"/>
        </w:rPr>
        <w:t>Constitutional Law in Canada</w:t>
      </w:r>
      <w:r>
        <w:rPr>
          <w:rFonts w:ascii="arial" w:eastAsia="arial" w:hAnsi="arial" w:cs="arial"/>
          <w:color w:val="000000"/>
          <w:sz w:val="20"/>
          <w:lang w:val="en-US" w:eastAsia="en-US" w:bidi="ar-SA"/>
        </w:rPr>
        <w:t>, 5th ed. (supp), loose-leaf (Toronto: Carswell, 2012) at p. 55-25: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change in the law creates a distinction between those who were governed by the law before the change and those who are governed by the new law, but this is not discrimination under s. 15, because a </w:t>
      </w:r>
      <w:r>
        <w:rPr>
          <w:rFonts w:ascii="arial" w:eastAsia="arial" w:hAnsi="arial" w:cs="arial"/>
          <w:i/>
          <w:color w:val="000000"/>
          <w:sz w:val="20"/>
          <w:lang w:val="en-US" w:eastAsia="en-US" w:bidi="ar-SA"/>
        </w:rPr>
        <w:t>temporal</w:t>
      </w:r>
      <w:r>
        <w:rPr>
          <w:rFonts w:ascii="arial" w:eastAsia="arial" w:hAnsi="arial" w:cs="arial"/>
          <w:color w:val="000000"/>
          <w:sz w:val="20"/>
          <w:lang w:val="en-US" w:eastAsia="en-US" w:bidi="ar-SA"/>
        </w:rPr>
        <w:t xml:space="preserve"> distinction is not an analogous ground."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defendant further notes that the plaintiffs attempt to compare themselves with claimants who may sue in tort or claim benefits under provincial workers' compensation schemes, thereby basing their s.15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on the "forum" for compensation, which is clearly not an enumerated or analogous ground. It argues that government is entitled to create different regimes that provide different benefits designed to address different needs and vary eligibility rules and, potentially, vary amounts of compensation. It relies on the Ontario Superior Court decision in </w:t>
      </w:r>
      <w:r>
        <w:rPr>
          <w:rFonts w:ascii="arial" w:eastAsia="arial" w:hAnsi="arial" w:cs="arial"/>
          <w:i/>
          <w:color w:val="000000"/>
          <w:sz w:val="20"/>
          <w:lang w:val="en-US" w:eastAsia="en-US" w:bidi="ar-SA"/>
        </w:rPr>
        <w:t>Wareham v. Ontario (Minister of Community and Social Services)</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(2008), 166 C.R.R. (2d) 162</w:t>
        </w:r>
      </w:hyperlink>
      <w:r>
        <w:rPr>
          <w:rFonts w:ascii="arial" w:eastAsia="arial" w:hAnsi="arial" w:cs="arial"/>
          <w:color w:val="000000"/>
          <w:sz w:val="20"/>
          <w:lang w:val="en-US" w:eastAsia="en-US" w:bidi="ar-SA"/>
        </w:rPr>
        <w:t xml:space="preserve"> (O.N.S.C.) which held that creating different public benefit regimes entailing different access rules does not amount to discrimination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Ontario Court of Appeal upheld the motion judge's decision to strike the statement of claim with respect to the s. 15 claim (</w:t>
      </w:r>
      <w:hyperlink r:id="rId864" w:history="1">
        <w:r>
          <w:rPr>
            <w:rFonts w:ascii="arial" w:eastAsia="arial" w:hAnsi="arial" w:cs="arial"/>
            <w:i/>
            <w:color w:val="0077CC"/>
            <w:sz w:val="20"/>
            <w:u w:val="single"/>
            <w:shd w:val="clear" w:color="auto" w:fill="FFFFFF"/>
            <w:lang w:val="en-US" w:eastAsia="en-US" w:bidi="ar-SA"/>
          </w:rPr>
          <w:t>2008 ONCA 771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plaintiffs' case is that they are being denied a benefit that is available to all other injured Canadians, namely the availability of adequate compensation for their work-related injuries. They acknowledge that the courts have not yet recognized employment status as analogous to the enumerated grounds under s. 15(1). However, they submit there is an arguable case that their status as Canadian Forces members and veterans is an analogous ground and that the NVC creates an adverse distinction based upon that status. They point to the Supreme Court of Canada's decision in </w:t>
      </w:r>
      <w:r>
        <w:rPr>
          <w:rFonts w:ascii="arial" w:eastAsia="arial" w:hAnsi="arial" w:cs="arial"/>
          <w:i/>
          <w:color w:val="000000"/>
          <w:sz w:val="20"/>
          <w:lang w:val="en-US" w:eastAsia="en-US" w:bidi="ar-SA"/>
        </w:rPr>
        <w:t>R. v. Généreux</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[1992] 1 S.C.R. 259</w:t>
        </w:r>
      </w:hyperlink>
      <w:r>
        <w:rPr>
          <w:rFonts w:ascii="arial" w:eastAsia="arial" w:hAnsi="arial" w:cs="arial"/>
          <w:color w:val="000000"/>
          <w:sz w:val="20"/>
          <w:lang w:val="en-US" w:eastAsia="en-US" w:bidi="ar-SA"/>
        </w:rPr>
        <w:t>, as support for their argument that employment in the Canadian Forces may be determined to be an analogous ground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Généreux,</w:t>
      </w:r>
      <w:r>
        <w:rPr>
          <w:rFonts w:ascii="arial" w:eastAsia="arial" w:hAnsi="arial" w:cs="arial"/>
          <w:color w:val="000000"/>
          <w:sz w:val="20"/>
          <w:lang w:val="en-US" w:eastAsia="en-US" w:bidi="ar-SA"/>
        </w:rPr>
        <w:t xml:space="preserve"> Mr. Justice Lamer, writing for the majority, stated,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at 310 - 311: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sought as well to rely on s.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 think that this submission equally can be dealt with briefly. In my opinion, the appellant, in the context of this appeal, cannot claim to be a member of a "discrete and insular minority" so as to bring himself within the meaning of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Andrews v. Law Society of British Columbia, </w:t>
      </w:r>
      <w:hyperlink r:id="rId866" w:history="1">
        <w:r>
          <w:rPr>
            <w:rFonts w:ascii="arial" w:eastAsia="arial" w:hAnsi="arial" w:cs="arial"/>
            <w:i/>
            <w:color w:val="0077CC"/>
            <w:sz w:val="20"/>
            <w:u w:val="single"/>
            <w:shd w:val="clear" w:color="auto" w:fill="FFFFFF"/>
            <w:lang w:val="en-US" w:eastAsia="en-US" w:bidi="ar-SA"/>
          </w:rPr>
          <w:t>[1989] 1 S.C.R. 143</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For the purposes of this appeal, the appellant cannot be said to belong to a category of person enumerated in s. 15(1), or one analogous thereto.</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emphasize, however, that my conclusion here is confined to the context of this appeal. I do not wish to suggest that military personnel can never be the objects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disadvantage or discrimination in a manner that could bring them within the meaning o</w:t>
      </w:r>
      <w:r>
        <w:rPr>
          <w:rFonts w:ascii="arial" w:eastAsia="arial" w:hAnsi="arial" w:cs="arial"/>
          <w:color w:val="000000"/>
          <w:sz w:val="20"/>
          <w:u w:val="single"/>
          <w:lang w:val="en-US" w:eastAsia="en-US" w:bidi="ar-SA"/>
        </w:rPr>
        <w:t>f</w:t>
      </w:r>
      <w:r>
        <w:rPr>
          <w:rFonts w:ascii="arial" w:eastAsia="arial" w:hAnsi="arial" w:cs="arial"/>
          <w:i/>
          <w:color w:val="000000"/>
          <w:sz w:val="20"/>
          <w:lang w:val="en-US" w:eastAsia="en-US" w:bidi="ar-SA"/>
        </w:rPr>
        <w:t>s. 15 of the Charter. Certainly it is the case, for instance, that after a period of massive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demobilization at the end of hostilities, returning military personnel may well suffer from disadvantages and discrimination peculiar to their status, and I do not preclude that members of the Armed Forces might constitute a class of persons analogous to those enumerated in s. 15(1) under those circumstances.</w:t>
      </w:r>
      <w:r>
        <w:rPr>
          <w:rFonts w:ascii="arial" w:eastAsia="arial" w:hAnsi="arial" w:cs="arial"/>
          <w:color w:val="000000"/>
          <w:sz w:val="20"/>
          <w:lang w:val="en-US" w:eastAsia="en-US" w:bidi="ar-SA"/>
        </w:rPr>
        <w:t xml:space="preserve"> However, no circumstances of this sort arise in the context of this appeal, and the appellant gains nothing by pleading s.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More recently, the Supreme Court of Canada in </w:t>
      </w:r>
      <w:r>
        <w:rPr>
          <w:rFonts w:ascii="arial" w:eastAsia="arial" w:hAnsi="arial" w:cs="arial"/>
          <w:i/>
          <w:color w:val="000000"/>
          <w:sz w:val="20"/>
          <w:lang w:val="en-US" w:eastAsia="en-US" w:bidi="ar-SA"/>
        </w:rPr>
        <w:t>Ontario (Attorney General) v. Fraser</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2011 SCC 20</w:t>
        </w:r>
      </w:hyperlink>
      <w:r>
        <w:rPr>
          <w:rFonts w:ascii="arial" w:eastAsia="arial" w:hAnsi="arial" w:cs="arial"/>
          <w:color w:val="000000"/>
          <w:sz w:val="20"/>
          <w:lang w:val="en-US" w:eastAsia="en-US" w:bidi="ar-SA"/>
        </w:rPr>
        <w:t>, at para. 116, left open the possibility that occupational status could be an analogous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When a person becomes a member of the Canadian Forces, he or she is bound to serve until lawfully released: </w:t>
      </w:r>
      <w:r>
        <w:rPr>
          <w:rFonts w:ascii="arial" w:eastAsia="arial" w:hAnsi="arial" w:cs="arial"/>
          <w:i/>
          <w:color w:val="000000"/>
          <w:sz w:val="20"/>
          <w:lang w:val="en-US" w:eastAsia="en-US" w:bidi="ar-SA"/>
        </w:rPr>
        <w:t>National Defence Act</w:t>
      </w:r>
      <w:r>
        <w:rPr>
          <w:rFonts w:ascii="arial" w:eastAsia="arial" w:hAnsi="arial" w:cs="arial"/>
          <w:color w:val="000000"/>
          <w:sz w:val="20"/>
          <w:lang w:val="en-US" w:eastAsia="en-US" w:bidi="ar-SA"/>
        </w:rPr>
        <w:t xml:space="preserve">, s. 23. This imposes a legal obligation upon Canadian Forces members that is unlike that upon members of civilian society. Civilians who decide to quit their job may face the prospect of loss of employment or threat of legal action for breach of contract. In contrast, Canadian Forces members who abandon or fail to report for duty face far more serious repercussions including imprisonment, potentially for life: </w:t>
      </w:r>
      <w:r>
        <w:rPr>
          <w:rFonts w:ascii="arial" w:eastAsia="arial" w:hAnsi="arial" w:cs="arial"/>
          <w:i/>
          <w:color w:val="000000"/>
          <w:sz w:val="20"/>
          <w:lang w:val="en-US" w:eastAsia="en-US" w:bidi="ar-SA"/>
        </w:rPr>
        <w:t>National Defence Act</w:t>
      </w:r>
      <w:r>
        <w:rPr>
          <w:rFonts w:ascii="arial" w:eastAsia="arial" w:hAnsi="arial" w:cs="arial"/>
          <w:color w:val="000000"/>
          <w:sz w:val="20"/>
          <w:lang w:val="en-US" w:eastAsia="en-US" w:bidi="ar-SA"/>
        </w:rPr>
        <w:t>, ss. 88 and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argue there is no requirement that they specifically identify a comparator group against whom their treatment under the NVC is contrasted, citing Professor Hogg's text at 55-34.4: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Withler v. Canada</w:t>
      </w:r>
      <w:r>
        <w:rPr>
          <w:rFonts w:ascii="arial" w:eastAsia="arial" w:hAnsi="arial" w:cs="arial"/>
          <w:color w:val="000000"/>
          <w:sz w:val="20"/>
          <w:lang w:val="en-US" w:eastAsia="en-US" w:bidi="ar-SA"/>
        </w:rPr>
        <w:t xml:space="preserve"> (2011), the Court suddenly resiled from its insistence on finding a precise comparator group to which the claimant's position was to be compared...the Court was obviously signaling a concern about their reasoning in </w:t>
      </w:r>
      <w:r>
        <w:rPr>
          <w:rFonts w:ascii="arial" w:eastAsia="arial" w:hAnsi="arial" w:cs="arial"/>
          <w:i/>
          <w:color w:val="000000"/>
          <w:sz w:val="20"/>
          <w:lang w:val="en-US" w:eastAsia="en-US" w:bidi="ar-SA"/>
        </w:rPr>
        <w:t>Hodge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Auton</w:t>
      </w:r>
      <w:r>
        <w:rPr>
          <w:rFonts w:ascii="arial" w:eastAsia="arial" w:hAnsi="arial" w:cs="arial"/>
          <w:color w:val="000000"/>
          <w:sz w:val="20"/>
          <w:lang w:val="en-US" w:eastAsia="en-US" w:bidi="ar-SA"/>
        </w:rPr>
        <w:t>, where 'the definition of the comparator group determines the analysis and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agree with the plaintiffs. It is not plain and obvious that status as a Canadian Forces member or veteran injured while serving Canada's interests would never be found to constitute a class of persons analogous to those enumerated in s. 15(1). Moreover, on the facts as pleaded, it is not plain and obvious that the effect of the NVC does not impose a differential treatment on injured members and veterans compared to other Canadians who are injured on the job.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Does the Distinction Perpetuate Disadvantage, Prejudice or Stereotyping?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submits that there are no pleaded facts capable of supporting a finding of discrimination on the basis of the perpetuation of prejudice or stereotyping.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say that the facts pleaded establish that the NVC perpetuates arbitrary disadvantage.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Québec v. A,</w:t>
      </w:r>
      <w:r>
        <w:rPr>
          <w:rFonts w:ascii="arial" w:eastAsia="arial" w:hAnsi="arial" w:cs="arial"/>
          <w:color w:val="000000"/>
          <w:sz w:val="20"/>
          <w:lang w:val="en-US" w:eastAsia="en-US" w:bidi="ar-SA"/>
        </w:rPr>
        <w:t xml:space="preserve"> Madam Justice Abella, writing the majority reasons on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framed the appropriate approach to the second stage of the s. 15(1) analysis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[325] In referring to prejudice and stereotyping in the second step of the </w:t>
      </w:r>
      <w:r>
        <w:rPr>
          <w:rFonts w:ascii="arial" w:eastAsia="arial" w:hAnsi="arial" w:cs="arial"/>
          <w:i/>
          <w:color w:val="000000"/>
          <w:sz w:val="20"/>
          <w:lang w:val="en-US" w:eastAsia="en-US" w:bidi="ar-SA"/>
        </w:rPr>
        <w:t>Kapp</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[2008] 2 S.C.R. 483</w:t>
        </w:r>
      </w:hyperlink>
      <w:r>
        <w:rPr>
          <w:rFonts w:ascii="arial" w:eastAsia="arial" w:hAnsi="arial" w:cs="arial"/>
          <w:color w:val="000000"/>
          <w:sz w:val="20"/>
          <w:lang w:val="en-US" w:eastAsia="en-US" w:bidi="ar-SA"/>
        </w:rPr>
        <w:t xml:space="preserve">, reformulation of the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test, the Court was not purporting to create a new </w:t>
      </w:r>
      <w:r>
        <w:rPr>
          <w:rFonts w:ascii="arial" w:eastAsia="arial" w:hAnsi="arial" w:cs="arial"/>
          <w:color w:val="000000"/>
          <w:sz w:val="20"/>
          <w:u w:val="single"/>
          <w:lang w:val="en-US" w:eastAsia="en-US" w:bidi="ar-SA"/>
        </w:rPr>
        <w:t>s. 15</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[2011] 1 S.C.R. 396</w:t>
        </w:r>
      </w:hyperlink>
      <w:r>
        <w:rPr>
          <w:rFonts w:ascii="arial" w:eastAsia="arial" w:hAnsi="arial" w:cs="arial"/>
          <w:color w:val="000000"/>
          <w:sz w:val="20"/>
          <w:lang w:val="en-US" w:eastAsia="en-US" w:bidi="ar-SA"/>
        </w:rPr>
        <w:t xml:space="preserve">, is clear that "[a]t the end of the day there is </w:t>
      </w:r>
      <w:r>
        <w:rPr>
          <w:rFonts w:ascii="arial" w:eastAsia="arial" w:hAnsi="arial" w:cs="arial"/>
          <w:i/>
          <w:color w:val="000000"/>
          <w:sz w:val="20"/>
          <w:lang w:val="en-US" w:eastAsia="en-US" w:bidi="ar-SA"/>
        </w:rPr>
        <w:t>only one question</w:t>
      </w:r>
      <w:r>
        <w:rPr>
          <w:rFonts w:ascii="arial" w:eastAsia="arial" w:hAnsi="arial" w:cs="arial"/>
          <w:color w:val="000000"/>
          <w:sz w:val="20"/>
          <w:lang w:val="en-US" w:eastAsia="en-US" w:bidi="ar-SA"/>
        </w:rPr>
        <w:t xml:space="preserve">: Does the challenged law violate the norm of substantive equality in </w:t>
      </w:r>
      <w:r>
        <w:rPr>
          <w:rFonts w:ascii="arial" w:eastAsia="arial" w:hAnsi="arial" w:cs="arial"/>
          <w:color w:val="000000"/>
          <w:sz w:val="20"/>
          <w:u w:val="single"/>
          <w:lang w:val="en-US" w:eastAsia="en-US" w:bidi="ar-SA"/>
        </w:rPr>
        <w:t>s. 15(1)</w:t>
      </w:r>
      <w:r>
        <w:rPr>
          <w:rFonts w:ascii="arial" w:eastAsia="arial" w:hAnsi="arial" w:cs="arial"/>
          <w:color w:val="000000"/>
          <w:sz w:val="20"/>
          <w:lang w:val="en-US" w:eastAsia="en-US" w:bidi="ar-SA"/>
        </w:rPr>
        <w:t xml:space="preserve"> of the </w:t>
      </w:r>
      <w:r>
        <w:rPr>
          <w:rFonts w:ascii="arial" w:eastAsia="arial" w:hAnsi="arial" w:cs="arial"/>
          <w:i/>
          <w:color w:val="000000"/>
          <w:sz w:val="20"/>
          <w:u w:val="single"/>
          <w:lang w:val="en-US" w:eastAsia="en-US" w:bidi="ar-SA"/>
        </w:rPr>
        <w:t>Charter</w:t>
      </w:r>
      <w:r>
        <w:rPr>
          <w:rFonts w:ascii="arial" w:eastAsia="arial" w:hAnsi="arial" w:cs="arial"/>
          <w:color w:val="000000"/>
          <w:sz w:val="20"/>
          <w:lang w:val="en-US" w:eastAsia="en-US" w:bidi="ar-SA"/>
        </w:rPr>
        <w:t>?" (para. 2 (emphasis added)). Prejudice and stereotyping are two of the indicia that may help answer that question; they are not discrete elements of the test which the claimant is obliged to demonstrate, as Professor Sophia Moreau explains: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Such a narrow interpretation will likely have the unfortunate effect of blinding us to other ways in which individuals and groups, that have suffered serious and long-standing disadvantage, can be discriminated against. This would include cases, for instance, that do not involve either overt prejudice or false stereotyping, but do involve oppression or unfair dominance of one group by another, or involve a denial to one group of goods that seem basic or necessary for full participation in Canadian society.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Kapp</w:t>
      </w:r>
      <w:r>
        <w:rPr>
          <w:rFonts w:ascii="arial" w:eastAsia="arial" w:hAnsi="arial" w:cs="arial"/>
          <w:color w:val="000000"/>
          <w:sz w:val="20"/>
          <w:lang w:val="en-US" w:eastAsia="en-US" w:bidi="ar-SA"/>
        </w:rPr>
        <w:t xml:space="preserve">: New Directions for </w:t>
      </w:r>
      <w:r>
        <w:rPr>
          <w:rFonts w:ascii="arial" w:eastAsia="arial" w:hAnsi="arial" w:cs="arial"/>
          <w:color w:val="000000"/>
          <w:sz w:val="20"/>
          <w:u w:val="single"/>
          <w:lang w:val="en-US" w:eastAsia="en-US" w:bidi="ar-SA"/>
        </w:rPr>
        <w:t>Section 15</w:t>
      </w:r>
      <w:r>
        <w:rPr>
          <w:rFonts w:ascii="arial" w:eastAsia="arial" w:hAnsi="arial" w:cs="arial"/>
          <w:color w:val="000000"/>
          <w:sz w:val="20"/>
          <w:lang w:val="en-US" w:eastAsia="en-US" w:bidi="ar-SA"/>
        </w:rPr>
        <w:t xml:space="preserve">" (2008-2009), </w:t>
      </w:r>
      <w:hyperlink r:id="rId870" w:history="1">
        <w:r>
          <w:rPr>
            <w:rFonts w:ascii="arial" w:eastAsia="arial" w:hAnsi="arial" w:cs="arial"/>
            <w:i/>
            <w:color w:val="0077CC"/>
            <w:sz w:val="20"/>
            <w:u w:val="single"/>
            <w:shd w:val="clear" w:color="auto" w:fill="FFFFFF"/>
            <w:lang w:val="en-US" w:eastAsia="en-US" w:bidi="ar-SA"/>
          </w:rPr>
          <w:t>40 Ottawa L. Rev. 283</w:t>
        </w:r>
      </w:hyperlink>
      <w:r>
        <w:rPr>
          <w:rFonts w:ascii="arial" w:eastAsia="arial" w:hAnsi="arial" w:cs="arial"/>
          <w:color w:val="000000"/>
          <w:sz w:val="20"/>
          <w:lang w:val="en-US" w:eastAsia="en-US" w:bidi="ar-SA"/>
        </w:rPr>
        <w:t>, at p. 292)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[327] We must be careful not to treat </w:t>
      </w:r>
      <w:r>
        <w:rPr>
          <w:rFonts w:ascii="arial" w:eastAsia="arial" w:hAnsi="arial" w:cs="arial"/>
          <w:i/>
          <w:color w:val="000000"/>
          <w:sz w:val="20"/>
          <w:lang w:val="en-US" w:eastAsia="en-US" w:bidi="ar-SA"/>
        </w:rPr>
        <w:t>Kapp</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as establishing an additional requirement on </w:t>
      </w:r>
      <w:r>
        <w:rPr>
          <w:rFonts w:ascii="arial" w:eastAsia="arial" w:hAnsi="arial" w:cs="arial"/>
          <w:color w:val="000000"/>
          <w:sz w:val="20"/>
          <w:u w:val="single"/>
          <w:lang w:val="en-US" w:eastAsia="en-US" w:bidi="ar-SA"/>
        </w:rPr>
        <w:t>s. 15</w:t>
      </w:r>
      <w:r>
        <w:rPr>
          <w:rFonts w:ascii="arial" w:eastAsia="arial" w:hAnsi="arial" w:cs="arial"/>
          <w:color w:val="000000"/>
          <w:sz w:val="20"/>
          <w:lang w:val="en-US" w:eastAsia="en-US" w:bidi="ar-SA"/>
        </w:rPr>
        <w:t xml:space="preserve"> claimants to prove that a distinction will perpetuate prejudicial or stereotypical attitudes towards them. Such an approach improperly focuses attention on whether a discriminatory </w:t>
      </w:r>
      <w:r>
        <w:rPr>
          <w:rFonts w:ascii="arial" w:eastAsia="arial" w:hAnsi="arial" w:cs="arial"/>
          <w:i/>
          <w:color w:val="000000"/>
          <w:sz w:val="20"/>
          <w:lang w:val="en-US" w:eastAsia="en-US" w:bidi="ar-SA"/>
        </w:rPr>
        <w:t>attitude</w:t>
      </w:r>
      <w:r>
        <w:rPr>
          <w:rFonts w:ascii="arial" w:eastAsia="arial" w:hAnsi="arial" w:cs="arial"/>
          <w:color w:val="000000"/>
          <w:sz w:val="20"/>
          <w:lang w:val="en-US" w:eastAsia="en-US" w:bidi="ar-SA"/>
        </w:rPr>
        <w:t xml:space="preserve"> exists, not a discriminatory impact, contrary to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Kapp</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In explaining prejudice in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the Court said: "[W]ithout attempting to limit the factors that may be useful in assessing a claim of discrimination, it can be said that where the discriminatory effect is said to be the perpetuation of disadvantage or prejudice, evidence that goes to establishing a claimant's historical position of disadvantage or to demonstrating existing prejudice against the claimant group, as well as the nature of the interest that is affected, will be considered" (para. 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[328] It is the discriminatory </w:t>
      </w:r>
      <w:r>
        <w:rPr>
          <w:rFonts w:ascii="arial" w:eastAsia="arial" w:hAnsi="arial" w:cs="arial"/>
          <w:i/>
          <w:color w:val="000000"/>
          <w:sz w:val="20"/>
          <w:lang w:val="en-US" w:eastAsia="en-US" w:bidi="ar-SA"/>
        </w:rPr>
        <w:t>conduct</w:t>
      </w:r>
      <w:r>
        <w:rPr>
          <w:rFonts w:ascii="arial" w:eastAsia="arial" w:hAnsi="arial" w:cs="arial"/>
          <w:color w:val="000000"/>
          <w:sz w:val="20"/>
          <w:lang w:val="en-US" w:eastAsia="en-US" w:bidi="ar-SA"/>
        </w:rPr>
        <w:t xml:space="preserve"> that </w:t>
      </w:r>
      <w:r>
        <w:rPr>
          <w:rFonts w:ascii="arial" w:eastAsia="arial" w:hAnsi="arial" w:cs="arial"/>
          <w:color w:val="000000"/>
          <w:sz w:val="20"/>
          <w:u w:val="single"/>
          <w:lang w:val="en-US" w:eastAsia="en-US" w:bidi="ar-SA"/>
        </w:rPr>
        <w:t>s. 15</w:t>
      </w:r>
      <w:r>
        <w:rPr>
          <w:rFonts w:ascii="arial" w:eastAsia="arial" w:hAnsi="arial" w:cs="arial"/>
          <w:color w:val="000000"/>
          <w:sz w:val="20"/>
          <w:lang w:val="en-US" w:eastAsia="en-US" w:bidi="ar-SA"/>
        </w:rPr>
        <w:t xml:space="preserve"> seeks to prevent, not the underlying attitude or motive, as Dickson C.J. explained in </w:t>
      </w:r>
      <w:r>
        <w:rPr>
          <w:rFonts w:ascii="arial" w:eastAsia="arial" w:hAnsi="arial" w:cs="arial"/>
          <w:i/>
          <w:color w:val="000000"/>
          <w:sz w:val="20"/>
          <w:lang w:val="en-US" w:eastAsia="en-US" w:bidi="ar-SA"/>
        </w:rPr>
        <w:t>Action Travail</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[1987] 1 S.C.R. 1114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a question of whether this discrimination is motivated by an intentional desire to obstruct someone's potential, or whether it is the accidental by-product of innocently motivated practices or systems. If the barrier is affecting certain groups in a disproportionately negative way, it is a signal that the practices that lead to this adverse impact may be discriminatory. [p. 1139, citing the Report of the Commission on Equality in Employment (1984).]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reiterated in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where the Court said: "[W]hether the </w:t>
      </w:r>
      <w:r>
        <w:rPr>
          <w:rFonts w:ascii="arial" w:eastAsia="arial" w:hAnsi="arial" w:cs="arial"/>
          <w:color w:val="000000"/>
          <w:sz w:val="20"/>
          <w:u w:val="single"/>
          <w:lang w:val="en-US" w:eastAsia="en-US" w:bidi="ar-SA"/>
        </w:rPr>
        <w:t>s. 15</w:t>
      </w:r>
      <w:r>
        <w:rPr>
          <w:rFonts w:ascii="arial" w:eastAsia="arial" w:hAnsi="arial" w:cs="arial"/>
          <w:color w:val="000000"/>
          <w:sz w:val="20"/>
          <w:lang w:val="en-US" w:eastAsia="en-US" w:bidi="ar-SA"/>
        </w:rPr>
        <w:t xml:space="preserve"> analysis focusses on perpetuating disadvantage or stereotyping, the analysis involves looking at the circumstances of members of the group and the </w:t>
      </w:r>
      <w:r>
        <w:rPr>
          <w:rFonts w:ascii="arial" w:eastAsia="arial" w:hAnsi="arial" w:cs="arial"/>
          <w:i/>
          <w:color w:val="000000"/>
          <w:sz w:val="20"/>
          <w:lang w:val="en-US" w:eastAsia="en-US" w:bidi="ar-SA"/>
        </w:rPr>
        <w:t>negative impact</w:t>
      </w:r>
      <w:r>
        <w:rPr>
          <w:rFonts w:ascii="arial" w:eastAsia="arial" w:hAnsi="arial" w:cs="arial"/>
          <w:color w:val="000000"/>
          <w:sz w:val="20"/>
          <w:lang w:val="en-US" w:eastAsia="en-US" w:bidi="ar-SA"/>
        </w:rPr>
        <w:t xml:space="preserve"> of the law on them" (para. 37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[330] Requiring claimants, therefore, to prove that a distinction perpetuates negative attitudes about them imposes a largely irrelevant, not to mention ineffable burden.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[331] </w:t>
      </w:r>
      <w:r>
        <w:rPr>
          <w:rFonts w:ascii="arial" w:eastAsia="arial" w:hAnsi="arial" w:cs="arial"/>
          <w:i/>
          <w:color w:val="000000"/>
          <w:sz w:val="20"/>
          <w:lang w:val="en-US" w:eastAsia="en-US" w:bidi="ar-SA"/>
        </w:rPr>
        <w:t>Kapp</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guide us, as a result, to a flexible and contextual inquiry into whether a distinction has the effect of perpetuating arbitrary disadvantage on the claimant because of his or her membership in an enumerated or analogous group. As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makes clear, the contextual factors will vary from case to case -- there is no "rigid template":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 contextual factors relevant to the substantive equality inquiry at the second step [of the Andrews test] will vary with the nature of the case. A rigid template risks consideration of irrelevant matters on the one hand, or overlooking relevant considerations on the other: Kapp. Factors such as those developed in Law, </w:t>
      </w:r>
      <w:hyperlink r:id="rId872" w:history="1">
        <w:r>
          <w:rPr>
            <w:rFonts w:ascii="arial" w:eastAsia="arial" w:hAnsi="arial" w:cs="arial"/>
            <w:i/>
            <w:color w:val="0077CC"/>
            <w:sz w:val="20"/>
            <w:u w:val="single"/>
            <w:shd w:val="clear" w:color="auto" w:fill="FFFFFF"/>
            <w:lang w:val="en-US" w:eastAsia="en-US" w:bidi="ar-SA"/>
          </w:rPr>
          <w:t>[1999] 1 S.C.R. 497</w:t>
        </w:r>
      </w:hyperlink>
      <w:r>
        <w:rPr>
          <w:rFonts w:ascii="arial" w:eastAsia="arial" w:hAnsi="arial" w:cs="arial"/>
          <w:color w:val="000000"/>
          <w:sz w:val="20"/>
          <w:lang w:val="en-US" w:eastAsia="en-US" w:bidi="ar-SA"/>
        </w:rPr>
        <w:t xml:space="preserve"> -- pre-existing disadvantage, correspondence with actual characteristics, impact on other groups and the nature of the interest affected -- may be helpful. However, they need not be expressly canvassed in every case in order to fully and properly determine whether a particular distinction is discriminatory. . . . [Emphasis added; para. 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McLachlin C.J.C. concurred in the reasons delivered by Abella J., emphasizing that, while prejudice and stereotyping are useful indicia, they are not determinative: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[418] Most recently, this Court has articulated the approach in terms of two steps: (1) Does the law create a distinction based on an enumerated or analogous ground? (2) Does the distinction create a disadvantage by perpetuating prejudice or false stereotyping? : </w:t>
      </w:r>
      <w:r>
        <w:rPr>
          <w:rFonts w:ascii="arial" w:eastAsia="arial" w:hAnsi="arial" w:cs="arial"/>
          <w:i/>
          <w:color w:val="000000"/>
          <w:sz w:val="20"/>
          <w:lang w:val="en-US" w:eastAsia="en-US" w:bidi="ar-SA"/>
        </w:rPr>
        <w:t>Kapp</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at para. 30. While the promotion or the perpetuation of prejudice, on the one hand, and false stereotyping, on the other, are useful guides, what constitutes discrimination requires a contextual analysis, taking into account matters such as pre-existing disadvantage of the claimant group, the degree of correspondence between the differential treatment and the claimant group's reality, the ameliorative impact or purpose of the law, and the nature of the interests affected: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Kapp</w:t>
      </w:r>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Given those statements from the Supreme Court of Canada and its clarification of the more expansive approach it has adopted in the second stage of the s. 15(1)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analysis, it is not plain and obvious the NVC could not be found to violate the norm of substantive equality through its treatment of injured Canadian Forces members and veterans in contrast with other injured Canadian workers. Although it may well be difficult for the plaintiffs to demonstrate the perpetuation of prejudice or stereotyping, it is premature at this stage of the proceeding to rule out the possibility that they will be able to demonstrate a distinction that perpetuates disadvantage.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 -</w:t>
      </w:r>
      <w:r>
        <w:rPr>
          <w:rFonts w:ascii="arial" w:eastAsia="arial" w:hAnsi="arial" w:cs="arial"/>
          <w:b/>
          <w:color w:val="000000"/>
          <w:sz w:val="20"/>
          <w:lang w:val="en-US" w:eastAsia="en-US" w:bidi="ar-SA"/>
        </w:rPr>
        <w:t xml:space="preserve">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7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life, liberty and security of the person and the right not to be deprived thereof except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plead that:</w:t>
      </w:r>
      <w:r>
        <w:rPr>
          <w:rFonts w:ascii="arial" w:eastAsia="arial" w:hAnsi="arial" w:cs="arial"/>
          <w:sz w:val="20"/>
          <w:lang w:val="en-US" w:eastAsia="en-US" w:bidi="ar-SA"/>
        </w:rPr>
        <w:cr/>
      </w:r>
    </w:p>
    <w:p>
      <w:pPr>
        <w:numPr>
          <w:numId w:val="7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enactment of the New Veterans Charter, members of the Class have been terminated in their employment and forced out of their income source as members in the Canadian Forces, have been unable to find meaningful employment, and have been provided with a total financial compensation package [sic] the New Veterans Charter that is insufficient to maintain a normal lifestyle for those of similar employment background in Canadian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390...the arbitrary, sub-standard and inadequate support and compensation schemes(s) established by the Defendant for the Plaintiffs, their families and for the Class in the New Veterans Charter violate s. 7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in depriving the Plaintiffs and the Class with the right to life, liberty and security of the person in a manner that is inconsistent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argue that the NVC deprives them of their right to security of the person in that it:</w:t>
      </w:r>
      <w:r>
        <w:rPr>
          <w:rFonts w:ascii="arial" w:eastAsia="arial" w:hAnsi="arial" w:cs="arial"/>
          <w:sz w:val="20"/>
          <w:lang w:val="en-US" w:eastAsia="en-US" w:bidi="ar-SA"/>
        </w:rPr>
        <w:cr/>
      </w:r>
    </w:p>
    <w:p>
      <w:pPr>
        <w:numPr>
          <w:numId w:val="7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provide adequate compensation for their injuries sustained in the service of Canada, despite assurances that they would be so compensated; and</w:t>
      </w:r>
    </w:p>
    <w:p>
      <w:pPr>
        <w:numPr>
          <w:numId w:val="7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causes them serious state imposed psychological distress resulting from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They say that these deprivations do not accord with the principles of fundamental justice, namely the Honour of the Crown, the government's obligation to fulfill its promises, the government's fiduciary duties and the principle that laws should not be arbitrary.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Fails to Provide Adequate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defendant argues that the plaintiffs seek to increase the amount of benefits they are entitled to receive; they do not seek to eliminate a deprivation. In other words, they seek to impose a positive obligation on the government that has never before been recognized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Pratten v. British Columbia (Attorney General)</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2012 BCCA 480</w:t>
        </w:r>
      </w:hyperlink>
      <w:r>
        <w:rPr>
          <w:rFonts w:ascii="arial" w:eastAsia="arial" w:hAnsi="arial" w:cs="arial"/>
          <w:color w:val="000000"/>
          <w:sz w:val="20"/>
          <w:lang w:val="en-US" w:eastAsia="en-US" w:bidi="ar-SA"/>
        </w:rPr>
        <w:t xml:space="preserve"> (leave to appeal refused </w:t>
      </w:r>
      <w:hyperlink r:id="rId874" w:history="1">
        <w:r>
          <w:rPr>
            <w:rFonts w:ascii="arial" w:eastAsia="arial" w:hAnsi="arial" w:cs="arial"/>
            <w:i/>
            <w:color w:val="0077CC"/>
            <w:sz w:val="20"/>
            <w:u w:val="single"/>
            <w:shd w:val="clear" w:color="auto" w:fill="FFFFFF"/>
            <w:lang w:val="en-US" w:eastAsia="en-US" w:bidi="ar-SA"/>
          </w:rPr>
          <w:t>[2013] S.C.C.A. No. 36</w:t>
        </w:r>
      </w:hyperlink>
      <w:r>
        <w:rPr>
          <w:rFonts w:ascii="arial" w:eastAsia="arial" w:hAnsi="arial" w:cs="arial"/>
          <w:color w:val="000000"/>
          <w:sz w:val="20"/>
          <w:lang w:val="en-US" w:eastAsia="en-US" w:bidi="ar-SA"/>
        </w:rPr>
        <w:t>)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defendant also submits that the plaintiffs have not been "deprived" of anything. Rather, it says the NVC confers benefits on them by way of services, assistance and compensation. It relies on the following statement by McLachlin C.J.C. in </w:t>
      </w:r>
      <w:r>
        <w:rPr>
          <w:rFonts w:ascii="arial" w:eastAsia="arial" w:hAnsi="arial" w:cs="arial"/>
          <w:i/>
          <w:color w:val="000000"/>
          <w:sz w:val="20"/>
          <w:lang w:val="en-US" w:eastAsia="en-US" w:bidi="ar-SA"/>
        </w:rPr>
        <w:t>Gosselin v. Québec (Attorney General)</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2002 SCC 84</w:t>
        </w:r>
      </w:hyperlink>
      <w:r>
        <w:rPr>
          <w:rFonts w:ascii="arial" w:eastAsia="arial" w:hAnsi="arial" w:cs="arial"/>
          <w:color w:val="000000"/>
          <w:sz w:val="20"/>
          <w:lang w:val="en-US" w:eastAsia="en-US" w:bidi="ar-SA"/>
        </w:rPr>
        <w:t xml:space="preserve"> at para.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s. 7 could be read to encompass economic rights, a further hurdle emerges. Section 7 speaks of the right </w:t>
      </w:r>
      <w:r>
        <w:rPr>
          <w:rFonts w:ascii="arial" w:eastAsia="arial" w:hAnsi="arial" w:cs="arial"/>
          <w:color w:val="000000"/>
          <w:sz w:val="20"/>
          <w:u w:val="single"/>
          <w:lang w:val="en-US" w:eastAsia="en-US" w:bidi="ar-SA"/>
        </w:rPr>
        <w:t>not to be deprived</w:t>
      </w:r>
      <w:r>
        <w:rPr>
          <w:rFonts w:ascii="arial" w:eastAsia="arial" w:hAnsi="arial" w:cs="arial"/>
          <w:color w:val="000000"/>
          <w:sz w:val="20"/>
          <w:lang w:val="en-US" w:eastAsia="en-US" w:bidi="ar-SA"/>
        </w:rPr>
        <w:t xml:space="preserve"> of life, liberty and security of the person, except in accordance with the principles of fundamental justice. Nothing in the jurisprudence thus far suggests that s. 7 places a positive obligation on the state to ensure that each person enjoys life, liberty or security of the person. Rather, s. 7 has been interpreted as restricting the state's ability to </w:t>
      </w:r>
      <w:r>
        <w:rPr>
          <w:rFonts w:ascii="arial" w:eastAsia="arial" w:hAnsi="arial" w:cs="arial"/>
          <w:color w:val="000000"/>
          <w:sz w:val="20"/>
          <w:u w:val="single"/>
          <w:lang w:val="en-US" w:eastAsia="en-US" w:bidi="ar-SA"/>
        </w:rPr>
        <w:t>deprive</w:t>
      </w:r>
      <w:r>
        <w:rPr>
          <w:rFonts w:ascii="arial" w:eastAsia="arial" w:hAnsi="arial" w:cs="arial"/>
          <w:color w:val="000000"/>
          <w:sz w:val="20"/>
          <w:lang w:val="en-US" w:eastAsia="en-US" w:bidi="ar-SA"/>
        </w:rPr>
        <w:t xml:space="preserve"> people of these. Such a deprivation does not exist in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defendant submits it is clear that the plaintiffs seek to protect a pure economic interest: the amount of compensation to which they are entitled if injured in service. It argues that there is no jurisprudence suggesting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encompasses economic rights or creates positive obligations on the state to ensure each person enjoys life, liberty and security of the person. Rather, s. 7 protects against state interference with a person's ability to make essential life choices: </w:t>
      </w:r>
      <w:r>
        <w:rPr>
          <w:rFonts w:ascii="arial" w:eastAsia="arial" w:hAnsi="arial" w:cs="arial"/>
          <w:i/>
          <w:color w:val="000000"/>
          <w:sz w:val="20"/>
          <w:lang w:val="en-US" w:eastAsia="en-US" w:bidi="ar-SA"/>
        </w:rPr>
        <w:t>Siemens v. Manitoba (Attorney General)</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2003 SCC 3</w:t>
        </w:r>
      </w:hyperlink>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plaintiffs acknowledge that their claim, in essence, asserts economic rights and that s. 7 has not been extended to the protection of economic interests, but submit the courts have left open the possibility of s. 7 being extended to embrace such rights. In </w:t>
      </w:r>
      <w:r>
        <w:rPr>
          <w:rFonts w:ascii="arial" w:eastAsia="arial" w:hAnsi="arial" w:cs="arial"/>
          <w:i/>
          <w:color w:val="000000"/>
          <w:sz w:val="20"/>
          <w:lang w:val="en-US" w:eastAsia="en-US" w:bidi="ar-SA"/>
        </w:rPr>
        <w:t>Melanson v. New Brunswick (Attorney General)</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2007 NBCA 12</w:t>
        </w:r>
      </w:hyperlink>
      <w:r>
        <w:rPr>
          <w:rFonts w:ascii="arial" w:eastAsia="arial" w:hAnsi="arial" w:cs="arial"/>
          <w:color w:val="000000"/>
          <w:sz w:val="20"/>
          <w:lang w:val="en-US" w:eastAsia="en-US" w:bidi="ar-SA"/>
        </w:rPr>
        <w:t>, Mr. Justice Robertson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To date the Supreme Court has not extended the protection afforded by </w:t>
      </w:r>
      <w:r>
        <w:rPr>
          <w:rFonts w:ascii="arial" w:eastAsia="arial" w:hAnsi="arial" w:cs="arial"/>
          <w:color w:val="000000"/>
          <w:sz w:val="20"/>
          <w:u w:val="single"/>
          <w:lang w:val="en-US" w:eastAsia="en-US" w:bidi="ar-SA"/>
        </w:rPr>
        <w:t>s. 7</w:t>
      </w:r>
      <w:r>
        <w:rPr>
          <w:rFonts w:ascii="arial" w:eastAsia="arial" w:hAnsi="arial" w:cs="arial"/>
          <w:color w:val="000000"/>
          <w:sz w:val="20"/>
          <w:lang w:val="en-US" w:eastAsia="en-US" w:bidi="ar-SA"/>
        </w:rPr>
        <w:t xml:space="preserve"> of the </w:t>
      </w:r>
      <w:r>
        <w:rPr>
          <w:rFonts w:ascii="arial" w:eastAsia="arial" w:hAnsi="arial" w:cs="arial"/>
          <w:i/>
          <w:color w:val="000000"/>
          <w:sz w:val="20"/>
          <w:u w:val="single"/>
          <w:lang w:val="en-US" w:eastAsia="en-US" w:bidi="ar-SA"/>
        </w:rPr>
        <w:t xml:space="preserve">Charter </w:t>
      </w:r>
      <w:r>
        <w:rPr>
          <w:rFonts w:ascii="arial" w:eastAsia="arial" w:hAnsi="arial" w:cs="arial"/>
          <w:color w:val="000000"/>
          <w:sz w:val="20"/>
          <w:lang w:val="en-US" w:eastAsia="en-US" w:bidi="ar-SA"/>
        </w:rPr>
        <w:t xml:space="preserve"> to cases involving economic or proprietary rights. However, so far as economic interests are concerned, the Supreme Court has not ruled out the possibility that, in future, </w:t>
      </w:r>
      <w:r>
        <w:rPr>
          <w:rFonts w:ascii="arial" w:eastAsia="arial" w:hAnsi="arial" w:cs="arial"/>
          <w:color w:val="000000"/>
          <w:sz w:val="20"/>
          <w:u w:val="single"/>
          <w:lang w:val="en-US" w:eastAsia="en-US" w:bidi="ar-SA"/>
        </w:rPr>
        <w:t>s. 7</w:t>
      </w:r>
      <w:r>
        <w:rPr>
          <w:rFonts w:ascii="arial" w:eastAsia="arial" w:hAnsi="arial" w:cs="arial"/>
          <w:color w:val="000000"/>
          <w:sz w:val="20"/>
          <w:lang w:val="en-US" w:eastAsia="en-US" w:bidi="ar-SA"/>
        </w:rPr>
        <w:t xml:space="preserve"> may be extended to embrace such interests.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it was argued that </w:t>
      </w:r>
      <w:r>
        <w:rPr>
          <w:rFonts w:ascii="arial" w:eastAsia="arial" w:hAnsi="arial" w:cs="arial"/>
          <w:color w:val="000000"/>
          <w:sz w:val="20"/>
          <w:u w:val="single"/>
          <w:lang w:val="en-US" w:eastAsia="en-US" w:bidi="ar-SA"/>
        </w:rPr>
        <w:t>s. 7</w:t>
      </w:r>
      <w:r>
        <w:rPr>
          <w:rFonts w:ascii="arial" w:eastAsia="arial" w:hAnsi="arial" w:cs="arial"/>
          <w:color w:val="000000"/>
          <w:sz w:val="20"/>
          <w:lang w:val="en-US" w:eastAsia="en-US" w:bidi="ar-SA"/>
        </w:rPr>
        <w:t xml:space="preserve"> imposes a positive obligation on a government to provide adequate welfare benefits to the poor. While the argument was rejected, the majority of the Court acknowledged that although </w:t>
      </w:r>
      <w:r>
        <w:rPr>
          <w:rFonts w:ascii="arial" w:eastAsia="arial" w:hAnsi="arial" w:cs="arial"/>
          <w:color w:val="000000"/>
          <w:sz w:val="20"/>
          <w:u w:val="single"/>
          <w:lang w:val="en-US" w:eastAsia="en-US" w:bidi="ar-SA"/>
        </w:rPr>
        <w:t>s. 7</w:t>
      </w:r>
      <w:r>
        <w:rPr>
          <w:rFonts w:ascii="arial" w:eastAsia="arial" w:hAnsi="arial" w:cs="arial"/>
          <w:color w:val="000000"/>
          <w:sz w:val="20"/>
          <w:lang w:val="en-US" w:eastAsia="en-US" w:bidi="ar-SA"/>
        </w:rPr>
        <w:t xml:space="preserve"> had yet to be extended to economic rights or to rights wholly unconnected with the administration of justice, those facts did not foreclose the possibility that, in future, </w:t>
      </w:r>
      <w:r>
        <w:rPr>
          <w:rFonts w:ascii="arial" w:eastAsia="arial" w:hAnsi="arial" w:cs="arial"/>
          <w:color w:val="000000"/>
          <w:sz w:val="20"/>
          <w:u w:val="single"/>
          <w:lang w:val="en-US" w:eastAsia="en-US" w:bidi="ar-SA"/>
        </w:rPr>
        <w:t>s. 7</w:t>
      </w:r>
      <w:r>
        <w:rPr>
          <w:rFonts w:ascii="arial" w:eastAsia="arial" w:hAnsi="arial" w:cs="arial"/>
          <w:color w:val="000000"/>
          <w:sz w:val="20"/>
          <w:lang w:val="en-US" w:eastAsia="en-US" w:bidi="ar-SA"/>
        </w:rPr>
        <w:t xml:space="preserve"> might be given a more expansive interpretation. However, the majority concluded that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was not the case for advancing the law because the evidence of "actual hardship" was wanting.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agree with counsel for the defendant that a scheme providing benefits cannot be said to amount to a deprivation merely because the claimant views the benefits as insufficient. However, I do not agree with the defendant's submission that s. 7 could not be interpreted in the circumstances here to encompass positive obligations on the state. The Supreme Court of Canada has acknowledged that one day it may be so interpreted: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at para. 82. It is arguable that the unique interactions between the Crown and its armed forces create the "special circumstances" necessary to give rise to a finding that s. 7 includes a positive obligation to protect the security of the plaintiffs'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 also disagree that an argument based upon s. 7 being extended to include economic interests is bound to fail. The plaintiffs have been injured, disabled and are in need of adequate economic assistance as a result of their military service. They are in a unique relationship with the government. As can be observed from </w:t>
      </w:r>
      <w:r>
        <w:rPr>
          <w:rFonts w:ascii="arial" w:eastAsia="arial" w:hAnsi="arial" w:cs="arial"/>
          <w:i/>
          <w:color w:val="000000"/>
          <w:sz w:val="20"/>
          <w:lang w:val="en-US" w:eastAsia="en-US" w:bidi="ar-SA"/>
        </w:rPr>
        <w:t>Melanson</w:t>
      </w:r>
      <w:r>
        <w:rPr>
          <w:rFonts w:ascii="arial" w:eastAsia="arial" w:hAnsi="arial" w:cs="arial"/>
          <w:color w:val="000000"/>
          <w:sz w:val="20"/>
          <w:lang w:val="en-US" w:eastAsia="en-US" w:bidi="ar-SA"/>
        </w:rPr>
        <w:t>, the door has been left open by the courts for such an argument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Chaoulli v. Québec (Attorney General)</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2005 SCC 35</w:t>
        </w:r>
      </w:hyperlink>
      <w:r>
        <w:rPr>
          <w:rFonts w:ascii="arial" w:eastAsia="arial" w:hAnsi="arial" w:cs="arial"/>
          <w:color w:val="000000"/>
          <w:sz w:val="20"/>
          <w:lang w:val="en-US" w:eastAsia="en-US" w:bidi="ar-SA"/>
        </w:rPr>
        <w:t xml:space="preserve">, at para. 193, held that courts should proceed cautiously in dealing with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[193] Section 7 gives rise to some of the most difficult issues in </w:t>
      </w:r>
      <w:r>
        <w:rPr>
          <w:rFonts w:ascii="arial" w:eastAsia="arial" w:hAnsi="arial" w:cs="arial"/>
          <w:i/>
          <w:color w:val="000000"/>
          <w:sz w:val="20"/>
          <w:lang w:val="en-US" w:eastAsia="en-US" w:bidi="ar-SA"/>
        </w:rPr>
        <w:t>Canadian Charter</w:t>
      </w:r>
      <w:r>
        <w:rPr>
          <w:rFonts w:ascii="arial" w:eastAsia="arial" w:hAnsi="arial" w:cs="arial"/>
          <w:color w:val="000000"/>
          <w:sz w:val="20"/>
          <w:lang w:val="en-US" w:eastAsia="en-US" w:bidi="ar-SA"/>
        </w:rPr>
        <w:t xml:space="preserve"> litigation. Because s. 7 protects the most basic interests of human beings -- life, liberty and security -- claimants call on the courts to adjudicate many difficult moral and ethical issues. It is therefore prudent, in our view, to proceed cautiously and incrementally in applying s. 7, particularly in distilling those principles that are so vital to our society's conception of "principles of fundamental justice" as to be constitutionally entrenched.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inconsistent with a cautious and incremental approach to strike the plaintiff's s. 7 claim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view, it is not plain and obvious that the plaintiff's claim that the NVC fails to provide adequate compensation to injured Canadian Forces members and veterans, thereby depriving them of their right to security of the person, has no reasonable prospect of success. The plaintiffs should be entitled to develop their case upon a full record.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NVC Causes Serious Psychological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will be engaged where an individual's psychological integrity is seriously harmed by an action of the state: </w:t>
      </w:r>
      <w:r>
        <w:rPr>
          <w:rFonts w:ascii="arial" w:eastAsia="arial" w:hAnsi="arial" w:cs="arial"/>
          <w:i/>
          <w:color w:val="000000"/>
          <w:sz w:val="20"/>
          <w:lang w:val="en-US" w:eastAsia="en-US" w:bidi="ar-SA"/>
        </w:rPr>
        <w:t>Blencoe v. British Columbia (Human Rights Commission)</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2000 SCC 44</w:t>
        </w:r>
      </w:hyperlink>
      <w:r>
        <w:rPr>
          <w:rFonts w:ascii="arial" w:eastAsia="arial" w:hAnsi="arial" w:cs="arial"/>
          <w:color w:val="000000"/>
          <w:sz w:val="20"/>
          <w:lang w:val="en-US" w:eastAsia="en-US" w:bidi="ar-SA"/>
        </w:rPr>
        <w:t>,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plaintiffs allege that, despite the promises made to them in the form of the Social Covenant, the government acted unilaterally to diminish the benefits they would have otherwise received after April 1, 2006. This legislative change occurred during the Afghanistan war when the armed forces had no choice but to continue serving their country and believed they would continue to receive benefits under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They say that they legitimately believed the government would honour its Social Covenant. The economic strain that has now been placed upon them as a consequence of the NVC creates enormous stress and feelings of betrayal and abandonment.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Major Mark Campbell is one example. After 32 years of military service, Mr. Campbell suffered the loss of both legs as well as other injuries. He also experienced severe mental health injuries initially caused by his physical injuries and later perpetuated by his feelings of betrayal and abandonment by the Canadian Forces, Veterans Affairs Canada and the government: amended notice of civil claim para.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my view, it is not plain and obvious that the plaintiffs'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in respect of serious state imposed psychological distress will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that a person's protected rights may not be deprived except if such deprivation is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defendant submits that the plaintiffs have not identified any principle of fundamental justice that has been violated. It argues that no material facts have been pleaded in support of the claim that the deprivation is arbitrary, noting the three-step analysis affirmed in </w:t>
      </w:r>
      <w:r>
        <w:rPr>
          <w:rFonts w:ascii="arial" w:eastAsia="arial" w:hAnsi="arial" w:cs="arial"/>
          <w:i/>
          <w:color w:val="000000"/>
          <w:sz w:val="20"/>
          <w:lang w:val="en-US" w:eastAsia="en-US" w:bidi="ar-SA"/>
        </w:rPr>
        <w:t>PHS Community Services Society v. Canada (Attorney General)</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2010 BCCA 15</w:t>
        </w:r>
      </w:hyperlink>
      <w:r>
        <w:rPr>
          <w:rFonts w:ascii="arial" w:eastAsia="arial" w:hAnsi="arial" w:cs="arial"/>
          <w:color w:val="000000"/>
          <w:sz w:val="20"/>
          <w:lang w:val="en-US" w:eastAsia="en-US" w:bidi="ar-SA"/>
        </w:rPr>
        <w:t xml:space="preserve"> (affirmed </w:t>
      </w:r>
      <w:hyperlink r:id="rId881" w:history="1">
        <w:r>
          <w:rPr>
            <w:rFonts w:ascii="arial" w:eastAsia="arial" w:hAnsi="arial" w:cs="arial"/>
            <w:i/>
            <w:color w:val="0077CC"/>
            <w:sz w:val="20"/>
            <w:u w:val="single"/>
            <w:shd w:val="clear" w:color="auto" w:fill="FFFFFF"/>
            <w:lang w:val="en-US" w:eastAsia="en-US" w:bidi="ar-SA"/>
          </w:rPr>
          <w:t>2011 SCC 44</w:t>
        </w:r>
      </w:hyperlink>
      <w:r>
        <w:rPr>
          <w:rFonts w:ascii="arial" w:eastAsia="arial" w:hAnsi="arial" w:cs="arial"/>
          <w:color w:val="000000"/>
          <w:sz w:val="20"/>
          <w:lang w:val="en-US" w:eastAsia="en-US" w:bidi="ar-SA"/>
        </w:rPr>
        <w:t>) at para. 275 for establishing arbitrariness:</w:t>
      </w:r>
      <w:r>
        <w:rPr>
          <w:rFonts w:ascii="arial" w:eastAsia="arial" w:hAnsi="arial" w:cs="arial"/>
          <w:sz w:val="20"/>
          <w:lang w:val="en-US" w:eastAsia="en-US" w:bidi="ar-SA"/>
        </w:rPr>
        <w:cr/>
      </w:r>
    </w:p>
    <w:p>
      <w:pPr>
        <w:numPr>
          <w:numId w:val="8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"state interest" sought to be protected;</w:t>
      </w:r>
    </w:p>
    <w:p>
      <w:pPr>
        <w:numPr>
          <w:numId w:val="8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relationship between the "state interest" identified and the impugned legislation and</w:t>
      </w:r>
    </w:p>
    <w:p>
      <w:pPr>
        <w:numPr>
          <w:numId w:val="8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claimant established that the impugned legislation bears no relation to or is inconsistent with the state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defendant says the plaintiffs' use of the term "arbitrary" in their pleadings does not meet the requirements set out in </w:t>
      </w:r>
      <w:r>
        <w:rPr>
          <w:rFonts w:ascii="arial" w:eastAsia="arial" w:hAnsi="arial" w:cs="arial"/>
          <w:i/>
          <w:color w:val="000000"/>
          <w:sz w:val="20"/>
          <w:lang w:val="en-US" w:eastAsia="en-US" w:bidi="ar-SA"/>
        </w:rPr>
        <w:t>PHS Community Services.</w:t>
      </w:r>
      <w:r>
        <w:rPr>
          <w:rFonts w:ascii="arial" w:eastAsia="arial" w:hAnsi="arial" w:cs="arial"/>
          <w:color w:val="000000"/>
          <w:sz w:val="20"/>
          <w:lang w:val="en-US" w:eastAsia="en-US" w:bidi="ar-SA"/>
        </w:rPr>
        <w:t xml:space="preserve"> Specifically, there are no material facts pleaded to support the requirement that they show the NVC bears no relation to or is inconsistent with Canada's interest to compensate injured Canadian Forces' members and veterans.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defendant submits that upper limits on court awarded damages are by their very nature arbitrary and that the setting of a cap is a policy decision within the purview of Parliament that has repeatedly withstood the scrutiny of the courts: </w:t>
      </w:r>
      <w:r>
        <w:rPr>
          <w:rFonts w:ascii="arial" w:eastAsia="arial" w:hAnsi="arial" w:cs="arial"/>
          <w:i/>
          <w:color w:val="000000"/>
          <w:sz w:val="20"/>
          <w:lang w:val="en-US" w:eastAsia="en-US" w:bidi="ar-SA"/>
        </w:rPr>
        <w:t>Lee v. Dawson</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2006 BCCA 159</w:t>
        </w:r>
      </w:hyperlink>
      <w:r>
        <w:rPr>
          <w:rFonts w:ascii="arial" w:eastAsia="arial" w:hAnsi="arial" w:cs="arial"/>
          <w:color w:val="000000"/>
          <w:sz w:val="20"/>
          <w:lang w:val="en-US" w:eastAsia="en-US" w:bidi="ar-SA"/>
        </w:rPr>
        <w:t xml:space="preserve"> (leave to appeal refused </w:t>
      </w:r>
      <w:hyperlink r:id="rId883" w:history="1">
        <w:r>
          <w:rPr>
            <w:rFonts w:ascii="arial" w:eastAsia="arial" w:hAnsi="arial" w:cs="arial"/>
            <w:i/>
            <w:color w:val="0077CC"/>
            <w:sz w:val="20"/>
            <w:u w:val="single"/>
            <w:shd w:val="clear" w:color="auto" w:fill="FFFFFF"/>
            <w:lang w:val="en-US" w:eastAsia="en-US" w:bidi="ar-SA"/>
          </w:rPr>
          <w:t>[2006] S.C.C.A. No. 192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Morrow v. Zhang</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2009 ABCA 215</w:t>
        </w:r>
      </w:hyperlink>
      <w:r>
        <w:rPr>
          <w:rFonts w:ascii="arial" w:eastAsia="arial" w:hAnsi="arial" w:cs="arial"/>
          <w:color w:val="000000"/>
          <w:sz w:val="20"/>
          <w:lang w:val="en-US" w:eastAsia="en-US" w:bidi="ar-SA"/>
        </w:rPr>
        <w:t xml:space="preserve"> (leave to appeal refused </w:t>
      </w:r>
      <w:hyperlink r:id="rId885" w:history="1">
        <w:r>
          <w:rPr>
            <w:rFonts w:ascii="arial" w:eastAsia="arial" w:hAnsi="arial" w:cs="arial"/>
            <w:i/>
            <w:color w:val="0077CC"/>
            <w:sz w:val="20"/>
            <w:u w:val="single"/>
            <w:shd w:val="clear" w:color="auto" w:fill="FFFFFF"/>
            <w:lang w:val="en-US" w:eastAsia="en-US" w:bidi="ar-SA"/>
          </w:rPr>
          <w:t>[2009] S.C.C.A. No. 341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Hartling v. Nova Scotia Attorney General)</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2009 NSCA 130</w:t>
        </w:r>
      </w:hyperlink>
      <w:r>
        <w:rPr>
          <w:rFonts w:ascii="arial" w:eastAsia="arial" w:hAnsi="arial" w:cs="arial"/>
          <w:color w:val="000000"/>
          <w:sz w:val="20"/>
          <w:lang w:val="en-US" w:eastAsia="en-US" w:bidi="ar-SA"/>
        </w:rPr>
        <w:t xml:space="preserve"> (leave to appeal refused </w:t>
      </w:r>
      <w:hyperlink r:id="rId887" w:history="1">
        <w:r>
          <w:rPr>
            <w:rFonts w:ascii="arial" w:eastAsia="arial" w:hAnsi="arial" w:cs="arial"/>
            <w:i/>
            <w:color w:val="0077CC"/>
            <w:sz w:val="20"/>
            <w:u w:val="single"/>
            <w:shd w:val="clear" w:color="auto" w:fill="FFFFFF"/>
            <w:lang w:val="en-US" w:eastAsia="en-US" w:bidi="ar-SA"/>
          </w:rPr>
          <w:t>[2010] S.C.C.A. No.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plaintiffs submit that the recognized obligation on the part of the government to provide adequate compensation to its injured armed forces members and veterans is an essential principle of fundamental justice that requires recognition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plaintiffs also submit it is a principle of fundamental justice that laws not be arbitrary: </w:t>
      </w:r>
      <w:r>
        <w:rPr>
          <w:rFonts w:ascii="arial" w:eastAsia="arial" w:hAnsi="arial" w:cs="arial"/>
          <w:i/>
          <w:color w:val="000000"/>
          <w:sz w:val="20"/>
          <w:lang w:val="en-US" w:eastAsia="en-US" w:bidi="ar-SA"/>
        </w:rPr>
        <w:t>Chaoulli</w:t>
      </w:r>
      <w:r>
        <w:rPr>
          <w:rFonts w:ascii="arial" w:eastAsia="arial" w:hAnsi="arial" w:cs="arial"/>
          <w:color w:val="000000"/>
          <w:sz w:val="20"/>
          <w:lang w:val="en-US" w:eastAsia="en-US" w:bidi="ar-SA"/>
        </w:rPr>
        <w:t>, at paras. 129-131. They argue that the NVC arbitrarily limits their respective rights to security of the person by placing caps on compensation for injuries and aggregating all injuries regardless of the number of events that led to them. They say that the NVC is inconsistent with the objective that lies behind it, namely the government's obligation to adequately compensate injured Canadian Forces members and veterans.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examples, the plaintiffs point to the fact that Bombardier Daniel Scott received 0% disability rating for the loss of his spleen and Master Corporal Gavin Flett received 0% disability rating for a left femur fracture. They say that such treatment is arbitrary and not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plaintiffs distinguish the cap imposed by the NVC with that imposed in tort law for non-pecuniary damages. The latter is intended to provide solace to the injured plaintiff and is not dependent solely upon the severity of the injury: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at para. 70. In contrast, the NVC is intended to provide compensation and services to support the ongoing survival of the injured Canadian Forces member or veteran.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my view, it is not plain and obvious that the plaintiffs'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arguments are bound to fail. The principles of fundamental justice are shaped by the shared assumptions upon which our system of justice is grounded. They find their meaning in the cases and traditions that have long detailed the basic norms for how the state deals with its citizens: </w:t>
      </w:r>
      <w:r>
        <w:rPr>
          <w:rFonts w:ascii="arial" w:eastAsia="arial" w:hAnsi="arial" w:cs="arial"/>
          <w:i/>
          <w:color w:val="000000"/>
          <w:sz w:val="20"/>
          <w:lang w:val="en-US" w:eastAsia="en-US" w:bidi="ar-SA"/>
        </w:rPr>
        <w:t>Canadian Foundation for Children, Youth and the Law v. Canada (Attorney General)</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2004 SCC 4</w:t>
        </w:r>
      </w:hyperlink>
      <w:r>
        <w:rPr>
          <w:rFonts w:ascii="arial" w:eastAsia="arial" w:hAnsi="arial" w:cs="arial"/>
          <w:color w:val="000000"/>
          <w:sz w:val="20"/>
          <w:lang w:val="en-US" w:eastAsia="en-US" w:bidi="ar-SA"/>
        </w:rPr>
        <w:t xml:space="preserve"> at para. 8. I am not persuaded that the basic norms by which Canada deals with its veterans do not include adequate compensation for their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the circumstances, it is appropriate that they be determined by the court on their merits taking into account the full factual context as may be developed.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387(g). all necessary orders pursuant to section 24(1)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or otherwise under common law or equitable principles required to remedy the breaches of section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affecting the Plaintiffs and members of the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387(i). all necessary orders pursuant to section 24(1)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or otherwise under common law or equitable principles required to remedy the breaches of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affecting the Plaintiffs and members of the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287(k). an order pursuant to section 24(1)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or otherwise under common law or equitable principles, that the Plaintiffs and the Class members be paid the difference between the amount paid under the New Veterans Charter and the amounts that would have been paid for analogous injuries in awards by the courts in Canada or in the alternative, under workers' compensation schemes.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Anyone whose rights or freedoms, as guaranteed by this Charter, have been infringed or denied may apply to a court of competent jurisdiction to obtain such remedy as the court considers appropriate and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Section 24(1) is invoked as a remedy for government acts under valid legislation that violate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t>
      </w:r>
      <w:r>
        <w:rPr>
          <w:rFonts w:ascii="arial" w:eastAsia="arial" w:hAnsi="arial" w:cs="arial"/>
          <w:i/>
          <w:color w:val="000000"/>
          <w:sz w:val="20"/>
          <w:lang w:val="en-US" w:eastAsia="en-US" w:bidi="ar-SA"/>
        </w:rPr>
        <w:t>R. v. Ferguson</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2008 SCC 6</w:t>
        </w:r>
      </w:hyperlink>
      <w:r>
        <w:rPr>
          <w:rFonts w:ascii="arial" w:eastAsia="arial" w:hAnsi="arial" w:cs="arial"/>
          <w:color w:val="000000"/>
          <w:sz w:val="20"/>
          <w:lang w:val="en-US" w:eastAsia="en-US" w:bidi="ar-SA"/>
        </w:rPr>
        <w:t xml:space="preserve"> at para. 60. Absent conduct that is clearly wrong, in bad faith or an abuse of power, the courts will not generally award damages for the harm suffered as a result of the mere enactment or application of a law that is subsequently declared to be unconstitutional. In other words, invalidity of government action, without something more, does not found an action in damages under s. 24(1): </w:t>
      </w:r>
      <w:r>
        <w:rPr>
          <w:rFonts w:ascii="arial" w:eastAsia="arial" w:hAnsi="arial" w:cs="arial"/>
          <w:i/>
          <w:color w:val="000000"/>
          <w:sz w:val="20"/>
          <w:lang w:val="en-US" w:eastAsia="en-US" w:bidi="ar-SA"/>
        </w:rPr>
        <w:t>Mackin v. New Brunswick (Minister of Finance)</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plaintiffs do not attack either the acts of a government official or of those administering the legislation. There is no plea of conduct that is clearly wrong, in bad faith or an abuse of power that would justify an award of damages under s. 24(1). Rather the plaintiffs attack the legislation itself and effectively seek a declaration that it is unconstitutional and of no force or effect pursuant to s.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plaintiffs acknowledge that an action for damages brought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cannot, as a general rule, be combined with an action for a declaration of invalidity based on s.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However, they say that the circumstances in this case are unique and that the alleged breach of fiduciary duty and the Honour of the Crown in conjunction with the enactment of unconstitutional legislation in the form of the NVC is the "something more" that will warrant the court departing from the general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plaintiffs argue further that, even though the courts are precluded from combining retroactive remedies under s. 24(1) with s. 52 remedies in the absence of "something more", the courts are not precluded from awarding prospective remedies under s. 24(1) in conjunction with s. 52 remedies: </w:t>
      </w:r>
      <w:r>
        <w:rPr>
          <w:rFonts w:ascii="arial" w:eastAsia="arial" w:hAnsi="arial" w:cs="arial"/>
          <w:i/>
          <w:color w:val="000000"/>
          <w:sz w:val="20"/>
          <w:lang w:val="en-US" w:eastAsia="en-US" w:bidi="ar-SA"/>
        </w:rPr>
        <w:t>R. v. Demers</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2004 SCC 46</w:t>
        </w:r>
      </w:hyperlink>
      <w:r>
        <w:rPr>
          <w:rFonts w:ascii="arial" w:eastAsia="arial" w:hAnsi="arial" w:cs="arial"/>
          <w:color w:val="000000"/>
          <w:sz w:val="20"/>
          <w:lang w:val="en-US" w:eastAsia="en-US" w:bidi="ar-SA"/>
        </w:rPr>
        <w:t xml:space="preserve"> at para. 63. They submit that, in the event the NVC is declared unconstitutional, it is possible the court will temporarily suspend the declaration to allow Parliament time to amend it. In such circumstances, courts have awarded prospective remedies under s. 24(1) if the government fails to remedy the legislation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agree with plaintiffs' counsel that, at this stage of the proceeding it would be premature to strike out the s. 24(1) remedy claim as it is not plain and obvious that it will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Canadian Bill of Rights</w:t>
      </w:r>
      <w:r>
        <w:rPr>
          <w:rFonts w:ascii="arial" w:eastAsia="arial" w:hAnsi="arial" w:cs="arial"/>
          <w:b/>
          <w:color w:val="000000"/>
          <w:sz w:val="20"/>
          <w:lang w:val="en-US" w:eastAsia="en-US" w:bidi="ar-SA"/>
        </w:rPr>
        <w:t xml:space="preserve"> and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plaintiffs plead as follows:</w:t>
      </w:r>
      <w:r>
        <w:rPr>
          <w:rFonts w:ascii="arial" w:eastAsia="arial" w:hAnsi="arial" w:cs="arial"/>
          <w:sz w:val="20"/>
          <w:lang w:val="en-US" w:eastAsia="en-US" w:bidi="ar-SA"/>
        </w:rPr>
        <w:cr/>
      </w:r>
    </w:p>
    <w:p>
      <w:pPr>
        <w:numPr>
          <w:numId w:val="8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the Class plead that they have been unlawfully deprived of their causes of action arising from the injuries they have suffered.</w:t>
      </w:r>
    </w:p>
    <w:p>
      <w:pPr>
        <w:numPr>
          <w:numId w:val="8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the Class further plead that property rights at law have traditionally been recognized as a fundamental freedom and that there is a right of the individual to the enjoyment of property and the right not to be deprived thereof, or of any interest therein, save by due process of law.</w:t>
      </w:r>
    </w:p>
    <w:p>
      <w:pPr>
        <w:numPr>
          <w:numId w:val="8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and Class also rely upon the </w:t>
      </w:r>
      <w:r>
        <w:rPr>
          <w:rFonts w:ascii="arial" w:eastAsia="arial" w:hAnsi="arial" w:cs="arial"/>
          <w:i/>
          <w:color w:val="000000"/>
          <w:sz w:val="20"/>
          <w:lang w:val="en-US" w:eastAsia="en-US" w:bidi="ar-SA"/>
        </w:rPr>
        <w:t>Canadian Bill of Rights</w:t>
      </w:r>
      <w:r>
        <w:rPr>
          <w:rFonts w:ascii="arial" w:eastAsia="arial" w:hAnsi="arial" w:cs="arial"/>
          <w:color w:val="000000"/>
          <w:sz w:val="20"/>
          <w:lang w:val="en-US" w:eastAsia="en-US" w:bidi="ar-SA"/>
        </w:rPr>
        <w:t xml:space="preserve">, which affirms the right of the individual to the enjoyment of property and the right not to be deprived thereof except by due process of law and Section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which stipulates that "The guarantee in this Charter of certain rights and freedoms shall not be construed as denying the existence of any other rights and freedoms that exist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plaintiffs submit that the enactment of the NVC and the discontinuation of benefits under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were not done in accordance with due process. They say that the change was "unilaterally imposed during a time of war despite the Social Covenant", notwithstanding the obligations of the Crown to members and veterans of the Canadian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plaintiffs maintain that property rights are part of Canada's common law. They note that property rights are recognized in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which affirms the right of the individual to the enjoyment of property and the right not to be deprived thereof except by due process of law: </w:t>
      </w:r>
      <w:r>
        <w:rPr>
          <w:rFonts w:ascii="arial" w:eastAsia="arial" w:hAnsi="arial" w:cs="arial"/>
          <w:i/>
          <w:color w:val="000000"/>
          <w:sz w:val="20"/>
          <w:lang w:val="en-US" w:eastAsia="en-US" w:bidi="ar-SA"/>
        </w:rPr>
        <w:t>Harrison v. Carswell</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[1976] 2 S.C.R. 200</w:t>
        </w:r>
      </w:hyperlink>
      <w:r>
        <w:rPr>
          <w:rFonts w:ascii="arial" w:eastAsia="arial" w:hAnsi="arial" w:cs="arial"/>
          <w:color w:val="000000"/>
          <w:sz w:val="20"/>
          <w:lang w:val="en-US" w:eastAsia="en-US" w:bidi="ar-SA"/>
        </w:rPr>
        <w:t xml:space="preserve"> at 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plaintiffs further submit that these common law rights are protected under s.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plaintiffs also refer to the common law rule that absent clear and unambiguous legislative language to the contrary, courts will order compensation to owners of property expropriated by the state. The plaintiffs seek a declaration that the plaintiffs and members of the class have been unlawfully deprived of their property rights without due process of law contrary to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and s.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plaintiffs also seek all orders necessary pursuant to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defendant says the plaintiffs have failed to plead any material facts to support their claims that they have been unlawfully deprived of their property rights under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and s.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defendant further alleges that even if material facts were pleaded in support of these claims, it is plain and obvious they have no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With respect to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claim, the defendant relies on </w:t>
      </w:r>
      <w:r>
        <w:rPr>
          <w:rFonts w:ascii="arial" w:eastAsia="arial" w:hAnsi="arial" w:cs="arial"/>
          <w:i/>
          <w:color w:val="000000"/>
          <w:sz w:val="20"/>
          <w:lang w:val="en-US" w:eastAsia="en-US" w:bidi="ar-SA"/>
        </w:rPr>
        <w:t>Authorson v. Canada (Attorney General)</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2003 SCC 39</w:t>
        </w:r>
      </w:hyperlink>
      <w:r>
        <w:rPr>
          <w:rFonts w:ascii="arial" w:eastAsia="arial" w:hAnsi="arial" w:cs="arial"/>
          <w:color w:val="000000"/>
          <w:sz w:val="20"/>
          <w:lang w:val="en-US" w:eastAsia="en-US" w:bidi="ar-SA"/>
        </w:rPr>
        <w:t xml:space="preserve">, where the Supreme Court of Canada held that a court could not compel Parliament to change its legislative procedures based on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and that there is "no due process right against duly enacted legislation unambiguously expropriating property interests"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defendant argues that s.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provide the basis for a stand-alone cause of action. It merely stipulates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limit or interfere with any other rights that already exist. Since the plaintiffs have not pleaded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has been applied in a manner that interferes with their existing rights, there is no cause of action that can be maintained.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Bill of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8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hereby recognized and declared that in Canada there have existed and shall continue to exist without discrimination by reason of race, national origin, colour, religion or sex, the following human rights and fundamental freedoms, namely,</w:t>
      </w:r>
    </w:p>
    <w:p>
      <w:pPr>
        <w:numPr>
          <w:numId w:val="8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of the individual to life, liberty, security of the person and enjoyment of property, and the right not to be deprived thereof except by due process of law;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Authorson</w:t>
      </w:r>
      <w:r>
        <w:rPr>
          <w:rFonts w:ascii="arial" w:eastAsia="arial" w:hAnsi="arial" w:cs="arial"/>
          <w:color w:val="000000"/>
          <w:sz w:val="20"/>
          <w:lang w:val="en-US" w:eastAsia="en-US" w:bidi="ar-SA"/>
        </w:rPr>
        <w:t>, the respondent was a disabled veteran. He was the representative plaintiff for a large class composed of disabled veterans of Canada's military forces. Their claim related to the government's administration of pension benefits on behalf of those who were incapable of managing the benefits on their own. The funds were deposited in the government's general account and tracked as special purpose accounts. The funds were rarely credited with interest even though the government understood that interest was owed. The government only began paying interest in 1990 and sought to limit its liability for past interest by the implementation a federal statute. The impugned provision stated that no claim could be made for or on account of interest on money held or administered by the government prior to January 1,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government conceded that it owed each of the veterans a fiduciary duty, that the funds owed to the veterans and administered by the government were rarely credited with interest and that a full accounting was never made. However, the government took the position that it had made that debt unenforceable by legislation. The respondent had argued that several due process rights were guaranteed by the </w:t>
      </w:r>
      <w:r>
        <w:rPr>
          <w:rFonts w:ascii="arial" w:eastAsia="arial" w:hAnsi="arial" w:cs="arial"/>
          <w:i/>
          <w:color w:val="000000"/>
          <w:sz w:val="20"/>
          <w:lang w:val="en-US" w:eastAsia="en-US" w:bidi="ar-SA"/>
        </w:rPr>
        <w:t>Bill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Rights</w:t>
      </w:r>
      <w:r>
        <w:rPr>
          <w:rFonts w:ascii="arial" w:eastAsia="arial" w:hAnsi="arial" w:cs="arial"/>
          <w:color w:val="000000"/>
          <w:sz w:val="20"/>
          <w:lang w:val="en-US" w:eastAsia="en-US" w:bidi="ar-SA"/>
        </w:rPr>
        <w:t>: (i) procedural rights before Parliamentary enactment of law; (ii) procedural rights before the application of a statute to individual circumstances; and (iii) substantive protections against governmental expropriation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Supreme Court of Canada considered whether the due process protections under s. 1(a) of the</w:t>
      </w:r>
      <w:r>
        <w:rPr>
          <w:rFonts w:ascii="arial" w:eastAsia="arial" w:hAnsi="arial" w:cs="arial"/>
          <w:i/>
          <w:color w:val="000000"/>
          <w:sz w:val="20"/>
          <w:lang w:val="en-US" w:eastAsia="en-US" w:bidi="ar-SA"/>
        </w:rPr>
        <w:t xml:space="preserve"> Bill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Rights</w:t>
      </w:r>
      <w:r>
        <w:rPr>
          <w:rFonts w:ascii="arial" w:eastAsia="arial" w:hAnsi="arial" w:cs="arial"/>
          <w:color w:val="000000"/>
          <w:sz w:val="20"/>
          <w:lang w:val="en-US" w:eastAsia="en-US" w:bidi="ar-SA"/>
        </w:rPr>
        <w:t xml:space="preserve"> guarded against the expropriation of property by passage of valid legislation. Mr. Justice Major, writing for the Court, rejected the argument that the respondent had the right to due process in legislative process. He found it is a long-standing Parliamentary tradition that the only procedural right due any citizen with respect to proposed legislation is that legislation will receive three readings in the House of Commons and the Senate as well as Royal Assent. Upon the completion of that process, legislation within Parliament's competence is "unassailable" (para. 37). Major J. continued at paras. 40 - 41: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submission that a court can compel Parliament to change its legislative procedures based on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must fail.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purports to guide the proper interpretation of every "law of Canada", which s. 5 of the </w:t>
      </w:r>
      <w:r>
        <w:rPr>
          <w:rFonts w:ascii="arial" w:eastAsia="arial" w:hAnsi="arial" w:cs="arial"/>
          <w:i/>
          <w:color w:val="000000"/>
          <w:sz w:val="20"/>
          <w:lang w:val="en-US" w:eastAsia="en-US" w:bidi="ar-SA"/>
        </w:rPr>
        <w:t>Bill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Rights</w:t>
      </w:r>
      <w:r>
        <w:rPr>
          <w:rFonts w:ascii="arial" w:eastAsia="arial" w:hAnsi="arial" w:cs="arial"/>
          <w:color w:val="000000"/>
          <w:sz w:val="20"/>
          <w:lang w:val="en-US" w:eastAsia="en-US" w:bidi="ar-SA"/>
        </w:rPr>
        <w:t xml:space="preserve"> defines to mean "an Act of the Parliament of Canada </w:t>
      </w:r>
      <w:r>
        <w:rPr>
          <w:rFonts w:ascii="arial" w:eastAsia="arial" w:hAnsi="arial" w:cs="arial"/>
          <w:color w:val="000000"/>
          <w:sz w:val="20"/>
          <w:u w:val="single"/>
          <w:lang w:val="en-US" w:eastAsia="en-US" w:bidi="ar-SA"/>
        </w:rPr>
        <w:t>enacted</w:t>
      </w:r>
      <w:r>
        <w:rPr>
          <w:rFonts w:ascii="arial" w:eastAsia="arial" w:hAnsi="arial" w:cs="arial"/>
          <w:color w:val="000000"/>
          <w:sz w:val="20"/>
          <w:lang w:val="en-US" w:eastAsia="en-US" w:bidi="ar-SA"/>
        </w:rPr>
        <w:t xml:space="preserve"> before or after the coming into force of this Act" (emphasis added). Court interference with the legislative process is not an interpretation of an already enacted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Due process protections cannot interfere with the right of the legislative branch to determine its own procedure. For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to confer such a power would effectively amend the Canadian constitution, which, in the preamble to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enshrines a constitution similar in principle to that of the United Kingdom. In the United Kingdom, no such pre-legislative procedural rights have existed. From that, it follows that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does not authorize such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Major J. then considered the procedural rights that exist with respect to the application of the law. He concluded that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guarantees notice and some opportunity to contest a governmental deprivation of property rights in an individualized, adjudicative setting -- before a court or tribunal (para. 42). However, he noted that these rights would only arise in context of the revocation of a veteran's benefits when the government no longer believes he or she is disabled. They would not arise in circumstances where the government legislates the elimination of such benefits (para. 44). He drew an analogy to a tax payer being unable to claim procedural protections against a change in income tax rates that adversely affect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Major J. then considered whether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confers substantive protections against the expropriation of property. He observed that it has long been recognized that Parliament has the right to expropriate property so long as it makes its intention clear. Major J. found that Parliament's expropriative intent as set out in the impugned legislation was clear and unambiguous (paras. 56 - 57). He further held there is no due process right against legislation that unambiguously expropriates property interests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It is important to recall that no property rights acquired under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were expropriated by the entry into force of the NVC. The NVC simply limited the property rights that could be granted to Canadian Forces' members and veterans who qualified for compensation after it came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is not clear whether the Social Covenant created property rights for Canadian Forces' members and veterans, present and future. If it did, there is no specific and unambiguous language in the NVC making it clear that Parliament intended to eliminate those substantive property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my view, the plaintiffs' claim based upon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is not doomed to fail and is worthy of exploration.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Section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guarantee in this Charter of certain rights and freedoms shall not be construed as denying the existence of any other rights or freedoms that exist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Fraser Health Authority v. Jongerden</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2013 BCSC 986</w:t>
        </w:r>
      </w:hyperlink>
      <w:r>
        <w:rPr>
          <w:rFonts w:ascii="arial" w:eastAsia="arial" w:hAnsi="arial" w:cs="arial"/>
          <w:color w:val="000000"/>
          <w:sz w:val="20"/>
          <w:lang w:val="en-US" w:eastAsia="en-US" w:bidi="ar-SA"/>
        </w:rPr>
        <w:t xml:space="preserve">, the respondent relied on ss. 2(d), 3, 7 and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well as the general proposition that the government must consult prior to enacting legislation in support of his position that the </w:t>
      </w:r>
      <w:r>
        <w:rPr>
          <w:rFonts w:ascii="arial" w:eastAsia="arial" w:hAnsi="arial" w:cs="arial"/>
          <w:i/>
          <w:color w:val="000000"/>
          <w:sz w:val="20"/>
          <w:lang w:val="en-US" w:eastAsia="en-US" w:bidi="ar-SA"/>
        </w:rPr>
        <w:t>Public Health Act Transitional Regulation</w:t>
      </w:r>
      <w:r>
        <w:rPr>
          <w:rFonts w:ascii="arial" w:eastAsia="arial" w:hAnsi="arial" w:cs="arial"/>
          <w:color w:val="000000"/>
          <w:sz w:val="20"/>
          <w:lang w:val="en-US" w:eastAsia="en-US" w:bidi="ar-SA"/>
        </w:rPr>
        <w:t xml:space="preserve"> was invalid. The court agreed with and adopted the Health Authority's position that s.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could not create a right that the respondent did not already have (para. 165). The court relied upon an excerpt from Professor Hogg's text </w:t>
      </w:r>
      <w:r>
        <w:rPr>
          <w:rFonts w:ascii="arial" w:eastAsia="arial" w:hAnsi="arial" w:cs="arial"/>
          <w:i/>
          <w:color w:val="000000"/>
          <w:sz w:val="20"/>
          <w:lang w:val="en-US" w:eastAsia="en-US" w:bidi="ar-SA"/>
        </w:rPr>
        <w:t>Constitutional Law of Canada</w:t>
      </w:r>
      <w:r>
        <w:rPr>
          <w:rFonts w:ascii="arial" w:eastAsia="arial" w:hAnsi="arial" w:cs="arial"/>
          <w:color w:val="000000"/>
          <w:sz w:val="20"/>
          <w:lang w:val="en-US" w:eastAsia="en-US" w:bidi="ar-SA"/>
        </w:rPr>
        <w:t>, 5th ed. (supp.), loose-leaf (Toronto: Carswell, 2012) at 36-46 - 36-47: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26 is a cautionary provision, included to make clear that the Charter is not to be construed as taking away any existing undeclared rights or freedoms. Rights or freedoms protected by the common law or statute will continue to exist notwithstanding the Charter. Section 26 does not incorporate these undeclared rights and freedoms into the Charter, or "constitutionalize" them in any other way. They continue to exist independently of the Charter, and receive no extra protection from the Charter. They differ from the rights or freedoms guaranteed in the Charter in that, as creatures of common law or statute, the undeclared rights can be altered or abolished by the action of the competent legislative body. As well, the remedy under s. 24 is not available for their enforcement.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Upon a plain reading of s. 26 it is clear that the provision is a safeguard clause, instructing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should not be construed as denying the existence of other rights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my view, it is plain and obvious that the claim for a declaration that the plaintiffs and members of the class have been unlawfully deprived of their property rights without due process of law contrary to s.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fails to disclose a reasonable cause of action and is bound to fail. That portion of the plaintiffs' claim is struck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Crown Liability and Proceedings Act</w:t>
      </w:r>
      <w:r>
        <w:rPr>
          <w:rFonts w:ascii="arial" w:eastAsia="arial" w:hAnsi="arial" w:cs="arial"/>
          <w:b/>
          <w:color w:val="000000"/>
          <w:sz w:val="20"/>
          <w:lang w:val="en-US" w:eastAsia="en-US" w:bidi="ar-SA"/>
        </w:rPr>
        <w:t xml:space="preserve"> -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defendant submits that s. 9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bars the action brought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Section 9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proceedings lie where pension payable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No proceedings lie against the Crown or a servant of the Crown in respect of a claim if a pension or compensation has been paid or is payable out of the Consolidated Revenue Fund or out of any funds administered by an agency of the Crown in respect of the death, injury, damage or loss in respect of which the claim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defendant says that the purpose of s. 9 is to prevent double recovery by way of a civil action for damages where a pension or compensation has already been paid. The defendant submits that the "crux" of the plaintiffs' claim is that the quantum of compensation to which they are entitled under the NVC is inadequate. Their claim, the defendant submits, comes squarely within s. 9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and it is therefore plain and obvious this action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plaintiffs submit that s. 9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has no application in this case because their action flows from the enactment of the NVC, not from the compensation received under it. Hence, they say, this is not a case involving potential double recovery. They further submit that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does not exempt pension legislation from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leading case on the interpretation of s. 9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Sarvanis v. Canada</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2002 SCC 28</w:t>
        </w:r>
      </w:hyperlink>
      <w:r>
        <w:rPr>
          <w:rFonts w:ascii="arial" w:eastAsia="arial" w:hAnsi="arial" w:cs="arial"/>
          <w:color w:val="000000"/>
          <w:sz w:val="20"/>
          <w:lang w:val="en-US" w:eastAsia="en-US" w:bidi="ar-SA"/>
        </w:rPr>
        <w:t>. The Supreme Court of Canada considered the issue of whether s. 9 immunized the Crown from tort liability where an individual received benefits under the Canada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appellant in </w:t>
      </w:r>
      <w:r>
        <w:rPr>
          <w:rFonts w:ascii="arial" w:eastAsia="arial" w:hAnsi="arial" w:cs="arial"/>
          <w:i/>
          <w:color w:val="000000"/>
          <w:sz w:val="20"/>
          <w:lang w:val="en-US" w:eastAsia="en-US" w:bidi="ar-SA"/>
        </w:rPr>
        <w:t>Sarvanis</w:t>
      </w:r>
      <w:r>
        <w:rPr>
          <w:rFonts w:ascii="arial" w:eastAsia="arial" w:hAnsi="arial" w:cs="arial"/>
          <w:color w:val="000000"/>
          <w:sz w:val="20"/>
          <w:lang w:val="en-US" w:eastAsia="en-US" w:bidi="ar-SA"/>
        </w:rPr>
        <w:t xml:space="preserve"> was an inmate. While he was working in the prison farm's hay barn, he fell through a hidden trap door on the second floor. He was left with permanent injuries and was unable to work. He qualified for CPP disability benefits. He commenced an action in tort against the Crown. The Crown sought summary judgment on the basis that his claim was statute-barred by virtue of s. 9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The application was dismissed by the Federal Court, </w:t>
      </w:r>
      <w:hyperlink r:id="rId897" w:history="1">
        <w:r>
          <w:rPr>
            <w:rFonts w:ascii="arial" w:eastAsia="arial" w:hAnsi="arial" w:cs="arial"/>
            <w:i/>
            <w:color w:val="0077CC"/>
            <w:sz w:val="20"/>
            <w:u w:val="single"/>
            <w:shd w:val="clear" w:color="auto" w:fill="FFFFFF"/>
            <w:lang w:val="en-US" w:eastAsia="en-US" w:bidi="ar-SA"/>
          </w:rPr>
          <w:t>[1998] F.C.J. No. 1304</w:t>
        </w:r>
      </w:hyperlink>
      <w:r>
        <w:rPr>
          <w:rFonts w:ascii="arial" w:eastAsia="arial" w:hAnsi="arial" w:cs="arial"/>
          <w:color w:val="000000"/>
          <w:sz w:val="20"/>
          <w:lang w:val="en-US" w:eastAsia="en-US" w:bidi="ar-SA"/>
        </w:rPr>
        <w:t xml:space="preserve">, but allowed by the Federal Court of Appeal, </w:t>
      </w:r>
      <w:hyperlink r:id="rId898" w:history="1">
        <w:r>
          <w:rPr>
            <w:rFonts w:ascii="arial" w:eastAsia="arial" w:hAnsi="arial" w:cs="arial"/>
            <w:i/>
            <w:color w:val="0077CC"/>
            <w:sz w:val="20"/>
            <w:u w:val="single"/>
            <w:shd w:val="clear" w:color="auto" w:fill="FFFFFF"/>
            <w:lang w:val="en-US" w:eastAsia="en-US" w:bidi="ar-SA"/>
          </w:rPr>
          <w:t>[2000] F.C.J. No. 12</w:t>
        </w:r>
      </w:hyperlink>
      <w:r>
        <w:rPr>
          <w:rFonts w:ascii="arial" w:eastAsia="arial" w:hAnsi="arial" w:cs="arial"/>
          <w:color w:val="000000"/>
          <w:sz w:val="20"/>
          <w:lang w:val="en-US" w:eastAsia="en-US" w:bidi="ar-SA"/>
        </w:rPr>
        <w:t>. It was appealed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Justice Iacobucci, writing for the Court, considered whether the use of the phrase "in respect of" in s. 9 was sufficiently broad to encompass the CPP disability benefits granted to the appellant. He acknowledged that the phrase "in respect of" was of broad meaning although not of "infinite reach" (para. 22). Looking at the context in which the phrase had been used, Iacobucci J. found that the ordinary meaning of the words "death, injury, damage or loss" indicates events in respect of which liability could, but for s. 9, attach. He stated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 both the French and English versions of the statute, the key is to recognize that the loss the recovery of which is barred by the statute must be the same loss that creates an entitlement to the relevant pension or compensation. The enumeration of events as clearly explicates the meaning of "perte" in the French text as it does the meaning of "in respect of"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He held (at para. 28) that the purpose of s. 9 is the prevention of double recovery for the same claim where the government is liable for misconduct but has already made a payment in respect thereof. The question to be asked is whether the factual basis for both the payment of the "pension or compensation" and for the action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Iacobucci J. held that the disability benefits under the CPP did not fall within the scope of the ordinary meaning of the words under s. 9. CPP benefits were not contingent on events, but rather, on specific statutory criteria (the disabled condition of a qualified contributor who is under 65 years of age and who makes an application). In order for s. 9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to be engaged, the eligibility for the compensation must be "death, injury, damage or loss" (para. 38). The CPP benefits were not being paid for any of those reasons. The Supreme Court of Canada allowed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defendant submits that the British Columbia Court of Appeal's decision in </w:t>
      </w:r>
      <w:r>
        <w:rPr>
          <w:rFonts w:ascii="arial" w:eastAsia="arial" w:hAnsi="arial" w:cs="arial"/>
          <w:i/>
          <w:color w:val="000000"/>
          <w:sz w:val="20"/>
          <w:lang w:val="en-US" w:eastAsia="en-US" w:bidi="ar-SA"/>
        </w:rPr>
        <w:t>Sulz v. Minister of Public Safety and Solicitor General</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2006 BCCA 582</w:t>
        </w:r>
      </w:hyperlink>
      <w:r>
        <w:rPr>
          <w:rFonts w:ascii="arial" w:eastAsia="arial" w:hAnsi="arial" w:cs="arial"/>
          <w:color w:val="000000"/>
          <w:sz w:val="20"/>
          <w:lang w:val="en-US" w:eastAsia="en-US" w:bidi="ar-SA"/>
        </w:rPr>
        <w:t xml:space="preserve"> is an example where s. 9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was applied to bar claims alleging breach of fiduciary duty where the claims were made on the same facts as those in respect of which compensation was paid. However, that issue was not, in fact, before the Court of Appeal, although a claim in tort brought against the federal Crown was considered in the judgment below (reasons indexed at </w:t>
      </w:r>
      <w:hyperlink r:id="rId900" w:history="1">
        <w:r>
          <w:rPr>
            <w:rFonts w:ascii="arial" w:eastAsia="arial" w:hAnsi="arial" w:cs="arial"/>
            <w:i/>
            <w:color w:val="0077CC"/>
            <w:sz w:val="20"/>
            <w:u w:val="single"/>
            <w:shd w:val="clear" w:color="auto" w:fill="FFFFFF"/>
            <w:lang w:val="en-US" w:eastAsia="en-US" w:bidi="ar-SA"/>
          </w:rPr>
          <w:t>2006 BCSC 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Sulz</w:t>
      </w:r>
      <w:r>
        <w:rPr>
          <w:rFonts w:ascii="arial" w:eastAsia="arial" w:hAnsi="arial" w:cs="arial"/>
          <w:color w:val="000000"/>
          <w:sz w:val="20"/>
          <w:lang w:val="en-US" w:eastAsia="en-US" w:bidi="ar-SA"/>
        </w:rPr>
        <w:t xml:space="preserve">, the plaintiff was a former member of the RCMP. She alleged that her immediate supervisor intentionally, or negligently, harassed her to the extent that she became so depressed she had no choice but to accept a discharge. The trial judge found the plaintiff's Veteran Affairs pension was awarded on the same factual basis as the plaintiff's claim in tort against the federal Crown. Both the letter approving the plaintiff's pension and the decision of the Veterans Review and Appeal Board increasing the plaintiff's award mentioned the allegations of harassment. The trial judge concluded the plaintiff's disability arose out of or was in connection with her service in the RCMP, thereby triggering s. 9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(para. 98). The provincial Crown was found vicariously liable in the tort of negligent infliction of mental suffering committed by the plaintiff's superior officer. The provincial Crown appealed that decision, in part, on the basis that the superannuation pension payable upon the respondent's discharge from the RCMP was double recovery. The Court of Appeal held that this benefit was payable because the respondent was discharged, not because she was injured in tort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defendant also relies on </w:t>
      </w:r>
      <w:r>
        <w:rPr>
          <w:rFonts w:ascii="arial" w:eastAsia="arial" w:hAnsi="arial" w:cs="arial"/>
          <w:i/>
          <w:color w:val="000000"/>
          <w:sz w:val="20"/>
          <w:lang w:val="en-US" w:eastAsia="en-US" w:bidi="ar-SA"/>
        </w:rPr>
        <w:t>Dumont v. Canada</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2003 FCA 475</w:t>
        </w:r>
      </w:hyperlink>
      <w:r>
        <w:rPr>
          <w:rFonts w:ascii="arial" w:eastAsia="arial" w:hAnsi="arial" w:cs="arial"/>
          <w:color w:val="000000"/>
          <w:sz w:val="20"/>
          <w:lang w:val="en-US" w:eastAsia="en-US" w:bidi="ar-SA"/>
        </w:rPr>
        <w:t xml:space="preserve"> at para. 73 as support for its argument. In </w:t>
      </w:r>
      <w:r>
        <w:rPr>
          <w:rFonts w:ascii="arial" w:eastAsia="arial" w:hAnsi="arial" w:cs="arial"/>
          <w:i/>
          <w:color w:val="000000"/>
          <w:sz w:val="20"/>
          <w:lang w:val="en-US" w:eastAsia="en-US" w:bidi="ar-SA"/>
        </w:rPr>
        <w:t>Dumont</w:t>
      </w:r>
      <w:r>
        <w:rPr>
          <w:rFonts w:ascii="arial" w:eastAsia="arial" w:hAnsi="arial" w:cs="arial"/>
          <w:color w:val="000000"/>
          <w:sz w:val="20"/>
          <w:lang w:val="en-US" w:eastAsia="en-US" w:bidi="ar-SA"/>
        </w:rPr>
        <w:t xml:space="preserve">, the appellants were members of the Canadian Forces. Mr. Dumont had been discharged for medical reasons. The Minister of Veterans' Affairs had granted him a disability pension for depression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(his disability assessed at 10%) but had declined to extend compensation to cover his claim that he suffered from post-traumatic stress disorder. The appellant Mr. Drolet had also been granted a pension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physical and psychological disabilities, his disability assessed at 60%. Neither appellant had sought review of the Minister's decision before the Veterans Review and Appeal Board. Neither had sought judicial review or reconsideration by the Minister. Both alleged that the respondent contributed to or failed to address the deterioration of their health. Both alleged the respondent's employees or agents were negligent towards them, breaching their legal obligations, their fiduciary obligations and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They appealed the trial-level decisions staying their respective tort claims against the respondent until each had made a formal application for indemnity under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The Crown cross-appealed on the basis that the actions should have been struck pursuant to s. 9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court held that the appellants' claims for breach of fiduciary duty were, in essence, tort actions that were prohibited under s. 9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because the damages claimed were already compensable by way of pension benefits (para. 73). The claims in tort and fiduciary duty were struck. However,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was allowed to proceed for the following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The appellants did not explain in any way how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has been infringed. However, in the event that the respondent has breached the appellant's rights that are guaranteed by this section, it is far from certain that section 9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can be relied upon to exclude a fair and appropriate remedy in keeping with the circumstances. It is up to the judge responsible for applying subsection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to assess whether the pension that might be awarded is appropriate and fair in regard to the circumstances, or if it would be appropriate to add further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Here, the plaintiffs take issue with the cap placed on financial recovery under the NVC as well as other aspects of the NVC, particularly the "Table of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Dumont</w:t>
      </w:r>
      <w:r>
        <w:rPr>
          <w:rFonts w:ascii="arial" w:eastAsia="arial" w:hAnsi="arial" w:cs="arial"/>
          <w:color w:val="000000"/>
          <w:sz w:val="20"/>
          <w:lang w:val="en-US" w:eastAsia="en-US" w:bidi="ar-SA"/>
        </w:rPr>
        <w:t xml:space="preserve"> is apposite in this case with respect to the constitutional claim. It is not plain and obvious that the factual basis upon which compensation is or has been received pursuant to the NVC is the same as the factual basis upon which compensation is claimed in this action. The plaintiffs' claims are in respect of alleged breaches of their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s. 1 of the</w:t>
      </w:r>
      <w:r>
        <w:rPr>
          <w:rFonts w:ascii="arial" w:eastAsia="arial" w:hAnsi="arial" w:cs="arial"/>
          <w:i/>
          <w:color w:val="000000"/>
          <w:sz w:val="20"/>
          <w:lang w:val="en-US" w:eastAsia="en-US" w:bidi="ar-SA"/>
        </w:rPr>
        <w:t xml:space="preserve"> Bill of Rights,</w:t>
      </w:r>
      <w:r>
        <w:rPr>
          <w:rFonts w:ascii="arial" w:eastAsia="arial" w:hAnsi="arial" w:cs="arial"/>
          <w:color w:val="000000"/>
          <w:sz w:val="20"/>
          <w:lang w:val="en-US" w:eastAsia="en-US" w:bidi="ar-SA"/>
        </w:rPr>
        <w:t xml:space="preserve"> the Crown's fiduciary obligations and the Honour of the Crown. These claims do not relate to the original injuries they suffered in the course of service for which compensation was paid under the NVC.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plaintiffs also seek general, special and aggravated damages. Those claims similarly relate to the failure of the government to fulfill promises. In my view it is not plain and obvious the claim for damages should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Statutory Instruments Act</w:t>
      </w:r>
      <w:r>
        <w:rPr>
          <w:rFonts w:ascii="arial" w:eastAsia="arial" w:hAnsi="arial" w:cs="arial"/>
          <w:b/>
          <w:color w:val="000000"/>
          <w:sz w:val="20"/>
          <w:lang w:val="en-US" w:eastAsia="en-US" w:bidi="ar-SA"/>
        </w:rPr>
        <w:t xml:space="preserve"> and the Table of Disabilities and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Statutory Instruments Act</w:t>
      </w:r>
      <w:r>
        <w:rPr>
          <w:rFonts w:ascii="arial" w:eastAsia="arial" w:hAnsi="arial" w:cs="arial"/>
          <w:color w:val="000000"/>
          <w:sz w:val="20"/>
          <w:lang w:val="en-US" w:eastAsia="en-US" w:bidi="ar-SA"/>
        </w:rPr>
        <w:t xml:space="preserve"> provides for the examination, publication and scrutiny of regulations and other statutory instruments: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It provides, in salient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Subject to any regulations made pursuant to paragraph 20(</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where a regulation-making authority proposes to make a regulation, it shall cause to be forwarded to the Clerk of the Privy Council three copies of the proposed regulation in both official languages.</w:t>
      </w:r>
    </w:p>
    <w:p>
      <w:pPr>
        <w:numPr>
          <w:numId w:val="8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receipt by the Clerk of the Privy Council of copies of a proposed regulation pursuant to subsection (1), the Clerk of the Privy Council, in consultation with the Deputy Minister of Justice, shall examine the proposed regulation to ensure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it is authorized by the statute pursuant to which it is to be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it does not constitute an unusual or unexpected use of the authority pursuant to which it is to be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it does not trespass unduly on existing rights and freedoms and is not, in any case, inconsistent with the purposes and provisions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Canadian Bill of Rights</w:t>
      </w:r>
      <w:r>
        <w:rPr>
          <w:rFonts w:ascii="arial" w:eastAsia="arial" w:hAnsi="arial" w:cs="arial"/>
          <w:color w:val="000000"/>
          <w:sz w:val="20"/>
          <w:lang w:val="en-US" w:eastAsia="en-US" w:bidi="ar-SA"/>
        </w:rPr>
        <w:t>;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the form and draftsmanship of the proposed regulation are in accordance with established standards.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(1) Subject to any regulations made pursuant to paragraph 20(</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every regulation-making authority shall, within seven days after making a regulation, transmit copies of the regulation in both official languages to the Clerk of the Privy Council for registration pursuant to section 6.</w:t>
      </w:r>
    </w:p>
    <w:p>
      <w:pPr>
        <w:numPr>
          <w:numId w:val="8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One copy of each of the official language versions of each regulation that is transmitted to the Clerk of the Privy Council pursuant to subsection (1), other than a regulation made or approved by the Governor in Council, shall be certified by the regulation-making authority to be a true copy thereof.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No regulation is invalid by reason only that it was not examined in accordance with subsection 3(2), but where any statutory instrument that was issued, made or established without having been so examined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was, before it was issued, made or established, determined by the Deputy Minister of Justice pursuant to section 4 to be one that would, if it were issued, made or established, be a regulation,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has, since its issue, making or establishment, been determined by the Deputy Minister of Justice pursuant to subsection 7(2) to be a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Governor in Council, on the recommendation of the Minister of Justice, may, notwithstanding the provisions of the Act by or under the authority of which the instrument was or purports to have been issued, made or established, revoke the instrument in whole or in part and thereupon cause the regulation-making authority or other authority by which it was issued, made or established to be notified in writing of that action.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(1) Subject to any regulations made pursuant to paragraph 20(</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every regulation shall be published in the </w:t>
      </w:r>
      <w:r>
        <w:rPr>
          <w:rFonts w:ascii="arial" w:eastAsia="arial" w:hAnsi="arial" w:cs="arial"/>
          <w:i/>
          <w:color w:val="000000"/>
          <w:sz w:val="20"/>
          <w:lang w:val="en-US" w:eastAsia="en-US" w:bidi="ar-SA"/>
        </w:rPr>
        <w:t>Canada Gazette</w:t>
      </w:r>
      <w:r>
        <w:rPr>
          <w:rFonts w:ascii="arial" w:eastAsia="arial" w:hAnsi="arial" w:cs="arial"/>
          <w:color w:val="000000"/>
          <w:sz w:val="20"/>
          <w:lang w:val="en-US" w:eastAsia="en-US" w:bidi="ar-SA"/>
        </w:rPr>
        <w:t xml:space="preserve"> within twenty-three days after copies thereof are registered pursuant to section 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Every statutory instrument issued, made or established after December 31, 1971, other than an instrument the inspection of which and the obtaining of copies of which are precluded by any regulations made pursuant to paragraph 20(</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shall stand permanently referred to any Committee of the House of Commons, of the Senate or of both Houses of Parliament that may be established for the purpose of reviewing and scrutinizing statutory instruments.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At paras. 359 to 363 of the amended notice of civil claim, the plaintiffs plead that the Table of Disabilities and instructions are statutory instruments that were not properly registered by the clerk of the privy council, were not published in the </w:t>
      </w:r>
      <w:r>
        <w:rPr>
          <w:rFonts w:ascii="arial" w:eastAsia="arial" w:hAnsi="arial" w:cs="arial"/>
          <w:i/>
          <w:color w:val="000000"/>
          <w:sz w:val="20"/>
          <w:lang w:val="en-US" w:eastAsia="en-US" w:bidi="ar-SA"/>
        </w:rPr>
        <w:t>Canada Gazette</w:t>
      </w:r>
      <w:r>
        <w:rPr>
          <w:rFonts w:ascii="arial" w:eastAsia="arial" w:hAnsi="arial" w:cs="arial"/>
          <w:color w:val="000000"/>
          <w:sz w:val="20"/>
          <w:lang w:val="en-US" w:eastAsia="en-US" w:bidi="ar-SA"/>
        </w:rPr>
        <w:t xml:space="preserve"> and were not referred to a Committee of the House of Commons, the Senate or both Houses of Parliament and thereby avoided the scrutiny and review they were required to receive. The plaintiffs also allege that the Table of Disabilities and instructions are invalid because they were not enacted as required by the statute pursuant to which they were made, they constitute an unusual or unexpected use of the authority pursuant to which they were made, they trespass on the plaintiffs' existing rights and freedoms and are inconsistent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There are several flaws with these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First, as the plaintiffs concede, by virtue of s. 51(2) of the NVC, the Table of Disabilities and instructions are exempt from the application of ss. 3, 5 and 11 of the </w:t>
      </w:r>
      <w:r>
        <w:rPr>
          <w:rFonts w:ascii="arial" w:eastAsia="arial" w:hAnsi="arial" w:cs="arial"/>
          <w:i/>
          <w:color w:val="000000"/>
          <w:sz w:val="20"/>
          <w:lang w:val="en-US" w:eastAsia="en-US" w:bidi="ar-SA"/>
        </w:rPr>
        <w:t>Statutory Instruments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Second, by virtue of s. 19 of the </w:t>
      </w:r>
      <w:r>
        <w:rPr>
          <w:rFonts w:ascii="arial" w:eastAsia="arial" w:hAnsi="arial" w:cs="arial"/>
          <w:i/>
          <w:color w:val="000000"/>
          <w:sz w:val="20"/>
          <w:lang w:val="en-US" w:eastAsia="en-US" w:bidi="ar-SA"/>
        </w:rPr>
        <w:t>Statutory Instruments Act,</w:t>
      </w:r>
      <w:r>
        <w:rPr>
          <w:rFonts w:ascii="arial" w:eastAsia="arial" w:hAnsi="arial" w:cs="arial"/>
          <w:color w:val="000000"/>
          <w:sz w:val="20"/>
          <w:lang w:val="en-US" w:eastAsia="en-US" w:bidi="ar-SA"/>
        </w:rPr>
        <w:t xml:space="preserve"> the Table of Disabilities and instructions are deemed to have been referred to a Committee of the House of Commons, the Senate or both Houses of Parliament established for the purpose of reviewing and scrutinizing them. The plaintiffs argue that s. 19 requires real scrutiny, not scrutiny that is merely deemed to have taken place. Nothing in the </w:t>
      </w:r>
      <w:r>
        <w:rPr>
          <w:rFonts w:ascii="arial" w:eastAsia="arial" w:hAnsi="arial" w:cs="arial"/>
          <w:i/>
          <w:color w:val="000000"/>
          <w:sz w:val="20"/>
          <w:lang w:val="en-US" w:eastAsia="en-US" w:bidi="ar-SA"/>
        </w:rPr>
        <w:t>Statutory Instruments Act</w:t>
      </w:r>
      <w:r>
        <w:rPr>
          <w:rFonts w:ascii="arial" w:eastAsia="arial" w:hAnsi="arial" w:cs="arial"/>
          <w:color w:val="000000"/>
          <w:sz w:val="20"/>
          <w:lang w:val="en-US" w:eastAsia="en-US" w:bidi="ar-SA"/>
        </w:rPr>
        <w:t xml:space="preserve"> requires the Committee to undertake a review of each instrument, nor does it make such a review a prerequisite to the valid enactment of the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Third, the plaintiffs have not pleaded any material facts to support their claim that the Table of Disabilities and instructions are invalid because they were not enacted as required by NVC, constitute an unusual or unexpected use of the authority pursuant to which they were made, trespass on the plaintiffs' existing rights and freedoms and are inconsistent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Fourth, by virtue of s. 8 of the </w:t>
      </w:r>
      <w:r>
        <w:rPr>
          <w:rFonts w:ascii="arial" w:eastAsia="arial" w:hAnsi="arial" w:cs="arial"/>
          <w:i/>
          <w:color w:val="000000"/>
          <w:sz w:val="20"/>
          <w:lang w:val="en-US" w:eastAsia="en-US" w:bidi="ar-SA"/>
        </w:rPr>
        <w:t>Statutory Instruments Act,</w:t>
      </w:r>
      <w:r>
        <w:rPr>
          <w:rFonts w:ascii="arial" w:eastAsia="arial" w:hAnsi="arial" w:cs="arial"/>
          <w:color w:val="000000"/>
          <w:sz w:val="20"/>
          <w:lang w:val="en-US" w:eastAsia="en-US" w:bidi="ar-SA"/>
        </w:rPr>
        <w:t xml:space="preserve"> no regulation is invalid by reason only that it was not examined in accordance with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my view, it is plain and obvious that the pleadings in the amended notice of civil claim related to the </w:t>
      </w:r>
      <w:r>
        <w:rPr>
          <w:rFonts w:ascii="arial" w:eastAsia="arial" w:hAnsi="arial" w:cs="arial"/>
          <w:i/>
          <w:color w:val="000000"/>
          <w:sz w:val="20"/>
          <w:lang w:val="en-US" w:eastAsia="en-US" w:bidi="ar-SA"/>
        </w:rPr>
        <w:t>Statutory Instruments Act</w:t>
      </w:r>
      <w:r>
        <w:rPr>
          <w:rFonts w:ascii="arial" w:eastAsia="arial" w:hAnsi="arial" w:cs="arial"/>
          <w:color w:val="000000"/>
          <w:sz w:val="20"/>
          <w:lang w:val="en-US" w:eastAsia="en-US" w:bidi="ar-SA"/>
        </w:rPr>
        <w:t xml:space="preserve"> disclose no reasonable cause of action and should be struck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UN </w:t>
      </w:r>
      <w:r>
        <w:rPr>
          <w:rFonts w:ascii="arial" w:eastAsia="arial" w:hAnsi="arial" w:cs="arial"/>
          <w:b/>
          <w:i/>
          <w:color w:val="000000"/>
          <w:sz w:val="20"/>
          <w:lang w:val="en-US" w:eastAsia="en-US" w:bidi="ar-SA"/>
        </w:rPr>
        <w:t>Universal Declaration of Human Rights</w:t>
      </w:r>
      <w:r>
        <w:rPr>
          <w:rFonts w:ascii="arial" w:eastAsia="arial" w:hAnsi="arial" w:cs="arial"/>
          <w:b/>
          <w:color w:val="000000"/>
          <w:sz w:val="20"/>
          <w:lang w:val="en-US" w:eastAsia="en-US" w:bidi="ar-SA"/>
        </w:rPr>
        <w:t>, Article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plaintiffs concede that the Universal Declaration of Human Rights has no binding legal effect and plead it only as "a reflection of the normative values of Canadians". No claim is being made under this Declaration.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Canadian Human Rights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plaintiffs confirm that they are not making a claim under the </w:t>
      </w:r>
      <w:r>
        <w:rPr>
          <w:rFonts w:ascii="arial" w:eastAsia="arial" w:hAnsi="arial" w:cs="arial"/>
          <w:i/>
          <w:color w:val="000000"/>
          <w:sz w:val="20"/>
          <w:lang w:val="en-US" w:eastAsia="en-US" w:bidi="ar-SA"/>
        </w:rPr>
        <w:t>Canadian Human Rights Act</w:t>
      </w:r>
      <w:r>
        <w:rPr>
          <w:rFonts w:ascii="arial" w:eastAsia="arial" w:hAnsi="arial" w:cs="arial"/>
          <w:color w:val="000000"/>
          <w:sz w:val="20"/>
          <w:lang w:val="en-US" w:eastAsia="en-US" w:bidi="ar-SA"/>
        </w:rPr>
        <w:t xml:space="preserve"> and have pleaded it as part of the factual background and legislative scheme that addresses the various rights of injured Canadian Forces members and veterans.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To the extent that the amended notice of civil claim is based upon a claim for a declaration that the plaintiffs and members of the class have been unlawfully deprived of their property rights without due process of law contrary to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and s. 26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it is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To the extent that the amended notice of civil claim is based upon a claim that the Table of Disabilities and instructions were enacted without the required scrutiny of Parliament, it is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To the extent that the plaintiffs' claim is grounded in a public law duty of care it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balance of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As there has been mixed success,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WEATHERILL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16, 2013</w:t>
      </w:r>
      <w:r>
        <w:rPr>
          <w:rFonts w:ascii="arial" w:eastAsia="arial" w:hAnsi="arial" w:cs="arial"/>
          <w:sz w:val="20"/>
          <w:lang w:val="en-US" w:eastAsia="en-US" w:bidi="ar-SA"/>
        </w:rPr>
        <w:cr/>
      </w:r>
    </w:p>
    <w:p>
      <w:pPr>
        <w:numPr>
          <w:numId w:val="9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citation in the second sentence of paragraph [30]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King v. Garside and Mosley (1834), 2 A.D. &amp; E. 266, 111 E.R. 103 (K.B.) at p. 107 been amended.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2"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2"/>
          <w:headerReference w:type="default" r:id="rId903"/>
          <w:footerReference w:type="even" r:id="rId904"/>
          <w:footerReference w:type="default" r:id="rId905"/>
          <w:headerReference w:type="first" r:id="rId906"/>
          <w:footerReference w:type="first" r:id="rId9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8" w:history="1">
        <w:r>
          <w:rPr>
            <w:rFonts w:ascii="arial" w:eastAsia="arial" w:hAnsi="arial" w:cs="arial"/>
            <w:b/>
            <w:bCs/>
            <w:i/>
            <w:color w:val="0077CC"/>
            <w:kern w:val="32"/>
            <w:sz w:val="28"/>
            <w:szCs w:val="32"/>
            <w:u w:val="single"/>
            <w:shd w:val="clear" w:color="auto" w:fill="FFFFFF"/>
            <w:lang w:val="en-US" w:eastAsia="en-US" w:bidi="ar-SA"/>
          </w:rPr>
          <w:t>WeGo Kayaking Ltd. v. Sewid, [2007] B.C.J. No. 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20 - 24,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05/2337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863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WeGo Kayaking Ltd. and Northern Lights Expeditions Ltd., Plaintiffs, and Thomas Sewid, Kathleen Westergaard and Telus Communications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3"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1" w:name="Keywords_42"/>
      <w:bookmarkEnd w:id="271"/>
      <w:r>
        <w:rPr>
          <w:rFonts w:ascii="arial" w:eastAsia="arial" w:hAnsi="arial" w:cs="arial"/>
          <w:b/>
          <w:color w:val="000000"/>
          <w:sz w:val="20"/>
          <w:lang w:val="en-US" w:eastAsia="en-US" w:bidi="ar-SA"/>
        </w:rPr>
        <w:t>Computer law — Internet — Web sites — Action by the plaintiffs for damages for defamatory statements made by the defendant against them on a website that he controlled allowed — Statements were defamatory — Defence of fair comment did not apply.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Computer law — Computer crimes — Defamation — Action by the plaintiffs for damages for defamatory statements made by the defendant against them on a website that he controlled allowed — Statements were defamatory — Defence of fair comment did not apply.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Defamation — Method of publication — Internet — Award — $150,001 to $300,000 — Damages in addition to general damages — Punitive damages — Action by the plaintiffs for damages for defamatory statements made by the defendant against them on a website that he controlled allowed — Statements were defamatory — Defence of fair comment did not apply — One plaintiff was awarded general damages of $100,000 and punitive damages of $2,500 — Second plaintiff was awarded general damages of $150,000 and punitive damages of $5,000.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Publication — Internet — Defences — Fair comment — Action by the plaintiffs for damages for defamatory statements made by the defendant against them on a website that he controlled allowed — Statements were defamatory — Defence of fair comment did not apply.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2" w:name="Case Summary_39"/>
            <w:bookmarkEnd w:id="2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WeGo Kayaking Ltd. and Northern Lights Expeditions Ltd. for damages for defamation against the defendant Sewid -- Plaintiffs were unrelated eco-tourism companies -- They offered kayak tours in the islands known as the Broughton Archipelago and Johnstone Strait located in the area of Vancouver Island -- Area contained traditional territories of several aboriginal First Nations -- Kayaking eco-tourism relied heavily on the Internet to attract customers -- WeGo and Northern each had web pages designed to attract business -- Focus of this proceeding was on a kayaking and native cultural tours website known as villageisland.com -- Plaintiffs claimed that Sewid published defamatory statements about their businesses on villageisland.com -- Sewid was an aboriginal -- He operated a water taxi service in the Archipelago and provided services for the guides and clients of the plaintiffs in 2003 and 2004 -- Plaintiffs terminated their agreements with Sewid -- He was upset at being terminated and in February 2005, when he went into competition with the plaintiffs, he published the statements at issue on the website -- Statements rated kayak companies who operated in the Archipelago -- Fifteen businesses were rated as good kayak companies and three businesses were listed as bad kayak companies -- Two of them were the plaintiffs -- Sewid refused to remove the plaintiffs from the bad list and refused to apologize -- He claimed that the website was the property of the co-defendant Westergaard and that he had no legal responsibility for the publication of the statements -- He also claimed that the statements on the website were protected by the defence of fair comment -- Default judgment had previously been obtained against Westergaard and Sewid -- Judgment against Sewid was set aside -- Westergaard was an undischarged bankrupt and her trustee did not overturn the judgment against her -- WeGo suffered a revenue loss of $259,000 as a direct consequence of the defamation and sought general damages of $100,000 -- Northern claimed economic losses of $298,000 and also sought that amount in damages -- HELD: Action allowed -- Sewid owned and controlled the website for his own economic benefit -- He also wrote emails that disclosed that he published the bad companies list to punish the plaintiffs for not continuing to do business with him -- He also wanted to remove the competition so as to take better advantage of the eco-tourism opportunities in the Archipelago -- Impugned statements were defamatory -- They were likely to injure the business reputations of both plaintiffs -- Sewid was involved in publishing the statements on the website because he formulated, communicated, authorized and approved their publication by Westergaard -- It was immaterial that Westergaard posted the statements on the website -- Defence of fair comment did not apply because statements were presented as facts rather than as comments based on true facts -- Even if the statements could be interpreted as comments the website did not contain any substratum of fact in support -- Sewid acted maliciously because he acted to injure the plaintiffs and to gain an economic advantage -- Fair comment did not apply where there was malice -- Plaintiffs were only entitled to damages for the injury to their business reputations -- No award was made for aggravated damages because the principals of the plaintiffs were not parties to the proceeding -- Punitive damages were available to a corporate plaintiff -- Court could not determine the plaintiffs' economic losses with any precision -- Based on all of the evidence it awarded WeGo general damages of $100,000 and Northern general damages of $150,000 -- Sewid's conduct was deserving of punishment and deterrence -- General damages awards were not sufficient -- WeGo was therefore awarded punitive damages of $2,500 and Northern was awarded punitive damages of $5,000.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3" w:name="Legislation Cited_20"/>
      <w:bookmarkEnd w:id="2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4"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4" w:name="Counsel_42"/>
      <w:bookmarkEnd w:id="2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5"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 Scherr and C. Churcher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Person: T. Sewid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5" w:name="Judgment_42"/>
      <w:bookmarkEnd w:id="275"/>
      <w:r>
        <w:pict>
          <v:line id="_x0000_s1226" style="position:absolute;z-index:2518558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6" w:name="MACAULAY J."/>
            <w:bookmarkEnd w:id="276"/>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WeGo Kayaking Ltd. ("Wego") and Northern Lights Expeditions Ltd. ("Northern") are unrelated eco-tourism companies. Both offer kayak tours in the islands known as the Broughton Archipelago and Johnstone Strait located east of Port McNeil on Vancouver Island. The Archipelago is beautiful, relatively protected, and full of sea and wildlife, making it very attractive to kayakers. It is also within the traditional territories of several aboriginal First Nations. The remains of abandoned village sites, Big Houses, memorial poles and pictographs add to the appeal of the area. Because of these features, the Archipelago offers immense opportunities for kayaking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Kayaking eco-tourism relies heavily on the Internet to attract customers. Potential customers around the world conduct key word searches for web pages respecting companies that do business in places of interest. Wego and Northern each had web pages designed to attract business in this fashion. Theirs were not the only sites available to the online searchers.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focus of this proceeding was on a kayaking and native cultural tours website known as villageisland.com. According to the plaintiffs, the personal defendants published defamatory statements about the plaintiffs' businesses on the villageisland.com site. Village Island is within the Archipelago and is an abandoned Mamalaleqala Band Indian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proceeded against Mr. Sewid because he is the only remaining defendant. Mr. Sewid is a member of the Kwakwaka'wakw First Nation and of the Mamalaleqala Band. He holds a high-ranking name, Hamatsa.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Sewid's defence has two prongs. First, he contends that the website was the property of the co-defendant, Ms. Westergaard, and that he has no legal responsibility for the publication of the statements. Second, until trial, Mr. Sewid maintained that the statements made on the website were true. At the beginning of the trial, he successfully applied to amend the statement of defence to replace the defence of truth, or justification, with one of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Since about mid-2003, Mr. Sewid has operated a water taxi service in the Archipelago. Commencing somewhat earlier, he also offered cultural tours on Village Island. Village Island is of considerable historical and cultural significance to the Kwakwaka'wakw First Nation and the Mamalaleqala Band. Mr. Sewid considers the island to be a sacred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March 2003, Mr. Sewid filed a Declaration of Proprietorship with the Corporate Registry for Village Island Tours. Copies of earlier registry documents indicate a previous partnership of the same name involving the co-defendant, Kathleen Westergaard, as a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Westergaard is non-aboriginal. She is not married to Mr. Sewid. Mr. Sewid and Ms. Westergaard have children who live with Ms. Westergaard in a home owned by Mr. Sewid.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 to the partnership documents, Ms. Westergaard's partner was Louise Katherine Sewid. That partnership was dissolved in the spring of 2002. Nothing turns on the configuration of the earlier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as to the personal and business relationship between Mr. Sewid and Ms. Westergaard is somewhat unclear and conflicting. Mr. Sewid described the personal relationship as something other than a common-law relationship although he stays with Ms. Westergaard and the children at the house when he is not away working. Mr. Sewid spends most of his working time out in his traditional territories.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apparent on the evidence that, regardless of any limits to their personal relationship, the defendants discussed, cooperated with and assisted each other on business matters. For example, Mr. Sewid testified that Ms. Westergaard received e-mails, handled inquiries and made bookings for his business. He helped direct customers to a gift shop business that she operated, on a float house immediately off-shore Village Island, to sell souvenirs, native art work and snack foods to kayakers and others who went to the island for cultural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important to understand why Mr. Sewid is the only remaining defendant. The plaintiffs earlier discontinued against the corporate defendant. In March 2006, they obtained judgment pursuant to Rule 18A against the two personal defendants when they did not attend on the hearing date. Unbeknownst to the plaintiffs at the time, Ms. Westergaard was an undischarged bankrupt. The Trustee in bankruptcy took no steps to overturn the default judgments against her although it is conceded that the plaintiffs cannot enforce the judgments. On April 28, 2006, the same Chambers judge set aside the judgments against Mr. Sewid. This re-opened the door for the litigation to continue but only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result, Ms. Westergaard is no longer a party. Nonetheless, she assisted Mr. Sewid, at his request, throughout the trial. This assistance included acting, in effect, as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spite of the assistance, some of Mr. Sewid's evidence appeared intended to create distance between him and Ms. Westergaard so as to preclude any possible finding that they jointly defamed the plaintiffs. As will be seen in these reasons, I do not accept that evidence. On the evidence that I do accept, I infer that the two defendants were in lockstep throughout and continue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the further reasons set out below, I find that the statements on the website were defamatory. I also find that the defence of fair comment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2003 and 2004, pursuant to oral agreements negotiated with the principals of Wego and Northern, respectively Mr. Danyliw and Mr. Arcese, Mr. Sewid provided services for the guides and clients of the two companies. These included water taxi services and cultural tours on Village Island. Wego and Northern were obligated to pay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2004, both Wego and Northern terminated their agreements with Mr. Sewid. I am satisfied that Mr. Sewid was angry with the terminations. He considered that he had been fired. Apart from Mr. Sewid's evidence at trial, there is no other evidence, including any written communications, to demonstrate that Mr. Sewid's present complaints about the plaintiffs predated the 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the plaintiffs, on or about February 25, 2005, Mr. Sewid published the statements at issue respecting the plaintiffs' business operations on his website. Although Mr. Sewid adamantly denies that the website was his, the evidence satisfies me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early 2005, Mr. Sewid decided to expand his business operation to include kayak tours. This, of course, put him in direct competition with the plaintiffs. In February, advertising for and information respecting that aspect of the business appeared on the website found at villageisland.com, on a page entitled "</w:t>
      </w:r>
      <w:r>
        <w:rPr>
          <w:rFonts w:ascii="arial" w:eastAsia="arial" w:hAnsi="arial" w:cs="arial"/>
          <w:b/>
          <w:color w:val="000000"/>
          <w:sz w:val="20"/>
          <w:lang w:val="en-US" w:eastAsia="en-US" w:bidi="ar-SA"/>
        </w:rPr>
        <w:t>Sea Kayak Trip Planning Information from Tom Sewid, Native Guardian</w:t>
      </w:r>
      <w:r>
        <w:rPr>
          <w:rFonts w:ascii="arial" w:eastAsia="arial" w:hAnsi="arial" w:cs="arial"/>
          <w:color w:val="000000"/>
          <w:sz w:val="20"/>
          <w:lang w:val="en-US" w:eastAsia="en-US" w:bidi="ar-SA"/>
        </w:rPr>
        <w:t>". Below, I set out the alleged defamatory statements in italics, together with other parts of the extracts to provide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best way to kayak in the </w:t>
      </w:r>
      <w:r>
        <w:rPr>
          <w:rFonts w:ascii="arial" w:eastAsia="arial" w:hAnsi="arial" w:cs="arial"/>
          <w:b/>
          <w:color w:val="000000"/>
          <w:sz w:val="20"/>
          <w:lang w:val="en-US" w:eastAsia="en-US" w:bidi="ar-SA"/>
        </w:rPr>
        <w:t>Land Of The War Canoe</w:t>
      </w:r>
      <w:r>
        <w:rPr>
          <w:rFonts w:ascii="arial" w:eastAsia="arial" w:hAnsi="arial" w:cs="arial"/>
          <w:color w:val="000000"/>
          <w:sz w:val="20"/>
          <w:lang w:val="en-US" w:eastAsia="en-US" w:bidi="ar-SA"/>
        </w:rPr>
        <w:t xml:space="preserve">, enjoy our islands and waters and have the most enjoyable vacation possible is to book with Aboriginal Adventures with Village Island Tours. Let it be known that you are coming to a rainforest and, yes, it does rain. In the summer, if it is not raining, then you can expect fog during the night and morning. </w:t>
      </w:r>
      <w:r>
        <w:rPr>
          <w:rFonts w:ascii="arial" w:eastAsia="arial" w:hAnsi="arial" w:cs="arial"/>
          <w:i/>
          <w:color w:val="000000"/>
          <w:sz w:val="20"/>
          <w:lang w:val="en-US" w:eastAsia="en-US" w:bidi="ar-SA"/>
        </w:rPr>
        <w:t>I must warn you that with other companies, you will more than likely stay in a soggy, wet, dirty tent and this will effect your whole trip.</w:t>
      </w:r>
      <w:r>
        <w:rPr>
          <w:rFonts w:ascii="arial" w:eastAsia="arial" w:hAnsi="arial" w:cs="arial"/>
          <w:color w:val="000000"/>
          <w:sz w:val="20"/>
          <w:lang w:val="en-US" w:eastAsia="en-US" w:bidi="ar-SA"/>
        </w:rPr>
        <w:t xml:space="preserve"> During the hot days, we tend to get an afternoon west wind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on in the page, under the heading "</w:t>
      </w:r>
      <w:r>
        <w:rPr>
          <w:rFonts w:ascii="arial" w:eastAsia="arial" w:hAnsi="arial" w:cs="arial"/>
          <w:b/>
          <w:color w:val="000000"/>
          <w:sz w:val="20"/>
          <w:lang w:val="en-US" w:eastAsia="en-US" w:bidi="ar-SA"/>
        </w:rPr>
        <w:t>Kayak Company Comparisons</w:t>
      </w:r>
      <w:r>
        <w:rPr>
          <w:rFonts w:ascii="arial" w:eastAsia="arial" w:hAnsi="arial" w:cs="arial"/>
          <w:color w:val="000000"/>
          <w:sz w:val="20"/>
          <w:lang w:val="en-US" w:eastAsia="en-US" w:bidi="ar-SA"/>
        </w:rPr>
        <w:t>", 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of you who are reading this are comparing the many companies that operate in Johnston Strait and the Broughton Archipelago. There are the cheaper paddle out paddle back to Telegraph Cove and stay in a tent tours and then there are the all inclusive mothership/resort based trips that make you pay through the nose to enjoy tours. Then there is my tour that fits between them all, but offers what no other can. </w:t>
      </w:r>
      <w:r>
        <w:rPr>
          <w:rFonts w:ascii="arial" w:eastAsia="arial" w:hAnsi="arial" w:cs="arial"/>
          <w:i/>
          <w:color w:val="000000"/>
          <w:sz w:val="20"/>
          <w:lang w:val="en-US" w:eastAsia="en-US" w:bidi="ar-SA"/>
        </w:rPr>
        <w:t>Beware, some companies claim an aboriginal theme, product, or participation with First Nations, but really are not well received by some of us Kwakwaka'wakw. I have 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review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of the operators in our area.</w:t>
      </w:r>
      <w:r>
        <w:rPr>
          <w:rFonts w:ascii="arial" w:eastAsia="arial" w:hAnsi="arial" w:cs="arial"/>
          <w:color w:val="000000"/>
          <w:sz w:val="20"/>
          <w:lang w:val="en-US" w:eastAsia="en-US" w:bidi="ar-SA"/>
        </w:rPr>
        <w:t xml:space="preserve"> I know that you will see that I have what kayak explorers want and need, and I will give you that vacation of a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name "Thomas Sewid" appears at the end of the page. Copyright is expressly reserved in the name of Village Island Native Cultural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word "</w:t>
      </w:r>
      <w:r>
        <w:rPr>
          <w:rFonts w:ascii="arial" w:eastAsia="arial" w:hAnsi="arial" w:cs="arial"/>
          <w:b/>
          <w:color w:val="000000"/>
          <w:sz w:val="20"/>
          <w:u w:val="single"/>
          <w:lang w:val="en-US" w:eastAsia="en-US" w:bidi="ar-SA"/>
        </w:rPr>
        <w:t>review</w:t>
      </w:r>
      <w:r>
        <w:rPr>
          <w:rFonts w:ascii="arial" w:eastAsia="arial" w:hAnsi="arial" w:cs="arial"/>
          <w:color w:val="000000"/>
          <w:sz w:val="20"/>
          <w:lang w:val="en-US" w:eastAsia="en-US" w:bidi="ar-SA"/>
        </w:rPr>
        <w:t>" in the paragraph set out above linked to another page headed: "</w:t>
      </w:r>
      <w:r>
        <w:rPr>
          <w:rFonts w:ascii="arial" w:eastAsia="arial" w:hAnsi="arial" w:cs="arial"/>
          <w:b/>
          <w:color w:val="000000"/>
          <w:sz w:val="20"/>
          <w:lang w:val="en-US" w:eastAsia="en-US" w:bidi="ar-SA"/>
        </w:rPr>
        <w:t>MY REVIEW OF KAYAK TOUR COMPANIES THAT OPERATE IN JOHNSTONE STRAIT &amp; BROUGHTON ARCHIPELAGO</w:t>
      </w:r>
      <w:r>
        <w:rPr>
          <w:rFonts w:ascii="arial" w:eastAsia="arial" w:hAnsi="arial" w:cs="arial"/>
          <w:color w:val="000000"/>
          <w:sz w:val="20"/>
          <w:lang w:val="en-US" w:eastAsia="en-US" w:bidi="ar-SA"/>
        </w:rPr>
        <w:t>" and sub-headed: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This review is intended for people who want to come to our region with an sea kayak company that is looked at favourably by First Nations and Village Island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material part of the page that followed, again with the alleged defamatory statements italicized, read: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Good Kayak Companies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the companies that operate in our region of the Kwakwaka'wakw Nation have for years supported our culture, heritage, band level businesses or First Nation individual entrepreneur level business operations. These companies are well received by most of the tribes that make up our nation, as well as individuals. Their tourism businesses are receptive to our peoples concerns about the environment and their operations. They have been and will continue to be welcome with their clients in our traditional territories. If there is a sea kayak company that I have forgotten, please e mail me and I'll add them to my list.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Bad Kayak Companies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These are the companies that are </w:t>
      </w:r>
      <w:r>
        <w:rPr>
          <w:rFonts w:ascii="arial" w:eastAsia="arial" w:hAnsi="arial" w:cs="arial"/>
          <w:b/>
          <w:i/>
          <w:color w:val="000000"/>
          <w:sz w:val="20"/>
          <w:lang w:val="en-US" w:eastAsia="en-US" w:bidi="ar-SA"/>
        </w:rPr>
        <w:t>not</w:t>
      </w:r>
      <w:r>
        <w:rPr>
          <w:rFonts w:ascii="arial" w:eastAsia="arial" w:hAnsi="arial" w:cs="arial"/>
          <w:i/>
          <w:color w:val="000000"/>
          <w:sz w:val="20"/>
          <w:lang w:val="en-US" w:eastAsia="en-US" w:bidi="ar-SA"/>
        </w:rPr>
        <w:t xml:space="preserve"> looked at favourably. They are ones that have done things to try and make First Nations become token Indians who are only needed as items of attraction or convenience. There may be some environmental concerns with their operating practices as well.</w:t>
      </w:r>
      <w:r>
        <w:rPr>
          <w:rFonts w:ascii="arial" w:eastAsia="arial" w:hAnsi="arial" w:cs="arial"/>
          <w:color w:val="000000"/>
          <w:sz w:val="20"/>
          <w:lang w:val="en-US" w:eastAsia="en-US" w:bidi="ar-SA"/>
        </w:rPr>
        <w:t xml:space="preserve"> Be very cautious when choosing who you want to travel into the Johnstone Strait, Broughton Archipelago region. While searching on the web, watch for who comes up first and how they manage this. They may need to concentrate on attracting new customers because past clients have given them poor recommendations and are not booking return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Immediately following were two vertical columns headed respectively "Good Kayak Companies" and "Bad Kayak Companies". A total of 15 businesses were listed in the former column. By contrast, only three businesses were listed in the "Bad Kayak Companies" column. These were the two plaintiffs and one other business, identified as Pacific Northwest Expeditions.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website quickly came to the attention of the plaintiffs, who retained counsel. Counsel immediately wrote to the defendants, Sewid and Westergaard, to demand the removal of the plaintiffs' names from the "Bad Kayak Companies" list, as well as a full retraction and apology. The defendants refused to remove the names which remained on the page in one form or another until the injunctive relief was granted. Mr. Sewid never retracted or apologised for the content. He continues to maintain that, to the extent the statements on the website were based on opinions that he had expressed to Ms. Westergaard, they were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That course of events differs from the experience of the third company listed. Brian Collen, the principal of Pacific Northwest Expeditions, also viewed the website. He contacted Ms. Westergaard at the Village Island Tours office about the inclusion of his business on the "Bad Kayak Companies" list. Ms. Westergaard referred him to Mr. Sewid. Mr. Collen's description of the discussion with Mr. Sewid that followed is revealing.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Mr. Collen, Mr. Sewid explained that Pacific Northwest Expeditions was on the list because its customers were not regularly taking the Village Island cultural tours and because Mr. Sewid wanted to use the same camping spot on Compton Island that Pacific Northwest was using at the time. Those reasons for inclusion on the list would not be at all apparent to any reader of the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Collen explained to Mr. Sewid that his clients did not want to take the cultural tours because most were returnees who had taken the tour on an earlier occasion and were looking for a different experience. Mr. Collen also explained that he made the arrangements for his campsite with the Chief and Band Council. He suggested that Mr. Sewid take up his issue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end of the conversation, Mr. Sewid agreed to remove Pacific Northwest Expeditions from the "Bad Kayak Companies" list and offered to place it on the "Good Kayak Companies" list. Mr. Collen asked that there be no reference at all to his business on the website. Some time after, Pacific Northwest Expeditions was removed from the "Bad Kayak Companies" list. Pacific Northwest Expeditions never commenced legal proceedings arising out of its inclusion on the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Collen's evidence was not challenged. I accept it. The evidence strongly supports two inferences: first, that the reasons for naming Pacific Northwest Expeditions to the list were economic rather than attributable to any of the concerns identified on the website; and second, even if Mr. Sewid did not own the webpage, he had sufficient control over it to arrange the removal of Pacific Northwest Expeditions from the "Bad Kayak Companies" list. As will be seen, the evidence that I accept supports similar inferences respecting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Mr. Sewid, he has limited formal education, through grade nine, and is not knowledgeable about business matters or technology. His working background is as a commercial fisherman and as a hunting and fishing guide, boat and tour operator. My impression of Mr. Sewid, on the whole of his evidence, is that he is more knowledgeable about business and technology than he admits.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Mr. Sewid, Ms. Westergaard owned the website. He denied that he directed her in any way respecting its content. If the former were true, one would expect at least some reference to Ms. Westergaard's gift shop on the website but there was none. All the advertising is for Mr. Sewid's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the website went online in late February 2005, not only did the content relate entirely to the business interests of Mr. Sewid but his name, along with his cultural and biographical antecedents, figured prominently throughout. In contrast, there was no reference to Ms. Westergaard.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Westergaard did not testify but it is possible to piece together some historical aspects of the Village Island website in spite of that. I earlier observed that she registered Village Island Tours as a partnership in May 2000. There is no evidence that anyone other than Mr. Sewid, sometimes with a native assistant, conducted the tours. Ms. Westergaard's involvement was apparently focused on the gift shop and assisting Mr. Sewid with his business. On March 24, 2003, about one year after the partnership dissolved in May 2002, Mr. Sewid filed a declaration of proprietorship for Village Island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likely that Ms. Westergaard registered the domain name villageisland.com sometime during this period. It is possible that she originally intended to use it solely for her own purposes but, even if that was so, the plan changed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early May 2004, around the time that Mr. Sewid chartered a vessel to use as a water taxi, Ms. Westergaard transferred the registration for the domain name villageisland.com to Village Island Tours &amp; Water Taxi. The transfer lists Ms. Westergaard as the administrative contact but there is no doubt that Mr. Sewid operated the water taxi business. About the same time, Ms. Westergaard sent an e-mail to Mr. Danyliw stating that she had transferred ownership of villageisland.com to Village Island Tours. There is also no doubt that Mr. Sewid operated the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accept that Ms. Westergaard made the arrangements to transfer the website, and likely paid for the transfer with her credit card, but I do not accept that she continued to be the sole owner of the website. It is much more likely that her further involvement with the website was to assist Mr. Sewid with his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All the contact information for Village Island Tours displayed on the website, published in late February 2005, including the address, e-mail address and telephone number, relate to Mr. Sewid's businesses, not to Ms. Westergaard's gift shop. Copyright for the site was reserved to Village Island Native Cultural Tours, another name for the business operated by Mr. Sewid. Mr. Sewid is, as I have set out, the sole registered proprietor of Village Island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Mr. Sewid issued a cheque to a software company in late February 2005. Given the date, the cheque was probably payment for the new website, with its focus on kayaking tours, going 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Sewid's evidence respecting the website is improbable at best. He maintained that Ms. Westergaard owned and exercised full control over its content. According to him, he would express his opinions respecting the plaintiffs to her from time to time and she then decided whether or not to publish them on "her" website. That evidence conveniently ignores the fact that the website was all about Mr. Sewid and his businesses, not about Ms. Westergaard and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raises an obvious question that the defence evidence never addressed. Why would Ms. Westergaard operate a website dedicated solely to the interests of another person except to benefit that person? There is compelling evidence that Mr. Sewid expected to benefit from the website which I will discuss below. The same evidence also satisfies me that Mr. Sewid controlled the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Following the publication of the website in late February, numerous e-mails were exchanged. Many of those were sent over the name "Tom Sewid" and contain express or implicit admissions that the author of the e-mail published the statements on the website. Mr. Sewid denied that he authored the e-mails and maintained that such communications are easily forged or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spite of those denials, I find that Mr. Sewid wrote or dictated the e-mails. The tone and grammar is similar to his manner of verbal communication. The content is highly personal. It is very unlikely that someone else would have drafted the e-mails and sent them in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Sewid previously admitted under oath at his examination for discovery and during the earlier court proceedings to overturn the default judgment that he wrote many, if not all, of the same e-mails and further admitted on those occasions that the website was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Sewid explained that the differences between his past and present evidence stemmed from his lack of familiarity with the court environment and the content of the documents as well as the manner in which counsel conducted the cross-examination. According to Mr. Sewid, counsel unfairly pressed him resulting in confusion. Mr. Sewid expressed similar complaints about the conduct of counsel during his cross-examination at trial. There was nothing unfair about the manner of cross-examination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Sewid swore an affidavit before trial in the presence of his then lawyer. In one paragraph, he referred to "my website" although elsewhere in the same affidavit, he deposed that Ms. Westergaard owned and operated the website at her discretion. Mr. Sewid attempted to explain the inconsistency between his evidence at trial and the reference to "my website" by stating that he did not wear his reading glasses when he reviewed the affidavit before swearing to it so he was unaware of it. While I did not find that explanation satisfactory, I have nonetheless placed little weight on the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affidavit is 63 paragraphs in length and it is possible that a drafting error went unnoticed at the time. I observe that the balance of the affidavit is consistent with Mr. Sewid's contention at trial that he did not own or control the website. While it is possible that the truth crept into the single paragraph of the affidavit put to Mr. Sewid in cross-examination, I doubt that it was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Finally, Andrew Jones, the principal of a business listed on the website in the "Good Kayak Companies" column, testified that Mr. Sewid offered to link from the website to his business in the spring of 2005. That evidence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do not accept the evidence of Mr. Sewid. Instead, I find that Mr. Sewid owned and controlled the villageisland.com website for his own economic benefit. I also find that he wrote the e-mails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e-mails disclose that Mr. Sewid, in publishing the "Bad Kayak Companies" list, intended to punish the plaintiffs for not continuing to do business with him. The following extracts are examples:</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25, 2005 to Mr. Arcese: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Read this carefully, think it through, and maybe if we speak man to man, we can both end this war and concentrate on what we should be doing - giving our clients what they want.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days have passed since my new web site went on line, and I am amazed at the amount of bookings and queries I have been getting. Many want to know about my review page, and when I educate them they turn around and book with me. Whiteman's magic, the Internet. All I am doing is educating perspective clients about what they really want. It also shows the many companies I cooperate with. It does show a few companies that are not what British Columbia tourism should be based upon.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bottom line is stay away from my people's traditional territories or find a way to work with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Remember Goliath was taken down by one lone man. I will not be intimidated, lied to, and have monies owed to me withheld for someone else's personal gain. My stone is a little thing called a kayak review page. The stone can be mighty as I have seen these last two days. Wednesday my new web site was launched, and like the stone from the bible it is mighty. Even I cannot believe how much positive the page has created. Perspective clients, and I mean the real ones David, are contacting me. So much so, I may well be up until the wee hours of the morning answering their questions and concerns.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9, 2005 to Mr. Arcese: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Colins is off the review list because he showed integrity and came up with a plan so that we may be able to work together and move foreword positively. Maybe you should follow in his footsteps instead of trying to damage my company that feeds my family. Don't even begin to whine about why you are on the list. If you paid your bills and took the time to work with Village Island Tours instead of trying to destroy it, you might be held in high regard as your company once was. When you take positive steps to fix the wrong, I will take steps to see your company removed from the review list. Lashing out with the e-mails and phone calls is not a positive step to ending what is going 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15, 2005 to Mr. Amos (Aboriginal Tourism British Columbia) and Mr. Arcese: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anyone questions my review page, and I ask all you directors to look at my web site. Think about wine reviews, movie reviews and restaurant reviews. If it is good for non-Natives, why is such a stink coming out a First Nation kayak review? I have stated that all they have to do is be man enough to sit at my fire and come up with a plan to cooperatively work with my operations. If they do not, then announce that they are not coming into Mamalelaqala Qwe'Qwa'Sot'Em traditional Territory. There are many other kayak companies that are and they are working cooperatively with my tour operations. There always is a place called common ground. The challenge is can they come and find it with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looking at the letter these two sent to A.T.B.C. and what they put on it from my web site, it shows that they are troubled by what I have them listed in. These are the only two companies in 18 years of operating in the tourism industry that have tried to financially harm my operations. They wonder why they are on this list.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sit at a computer anf type things in like you want to whale watch, paddle in B.C., bear watch, kayak and so forth you will find that these two companies come up the most. Hats off to good web placement, but too good of a thing is a bad thing. These two are so blind in their ambition to be on top of the kayak hill that they do not see they are pissing many tour operators off. They are making it look in cyber-world that they are the only two companies out there offering trips in B.C. Look at how they are pushing aboriginal tour companies so far back, that most are non-existant. This little ole Indian made a review page that is honest Injun and now accountability kicks in. My my what have I done? I have only told the world the truth - buyer beware. Is that a crime?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can bet dimes to dollars that these two will try and bring me to court next. Bring it on, this aboriginal knows I have the dice in my favour. If you really look at the whole fiasco, Turtle Island and other First Nations web sites would love the story. I am only standing up for Native rights. The right to operate my company within my traditional territory and have the same fair advertising field as everyone else. Why should I be back benched by seasonal immigrant tour companies like these two, that do not want to work with me. We First Nations have rights that precede any other in our traditional territories, and I am going to stand up for all First 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apparent that Mr. Sewid authorized the creation of the "Bad Kayak Companies" list because he wanted to punish and remove the competition. This permitted him to take better advantage of the eco-tourism opportunities in the Broughton Archipelago. It is apparent that Mr. Sewid felt aggrieved but there is little in the e-mails otherwise to explain the reasons for the "Bad Kayak Companies" listing.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e-mail to Aboriginal Tourism British Columbia, Mr. Sewid explained his complaints about Northern Lights insofar as native culture is concerned,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us as directors remember how we have met on numerous occasions and stated that we must have integrity and authenticity in our aboriginal operations in the tourism industry. I ask all of you to look at Northern Lights Expeditions web site. You will find a company that is marketing an aboriginal component to their tours. At least it seems that way with all the wall paper of and aboriginal orca design and paddle blades with an aboriginal image. Then there is the links to the Namgis Nation and U'mista Cultural Center. In my records there is a sticker with an aboriginal raven design and kayak in the pupil of the ravens eye. On the bottom of the sticker is the contacts for Northern Lights Expeditions. David has known for sometime that the aboriginal image sells seats.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Remember this is the man that nagged my band in the late 1980s for clean up to be done to Village Island so that his clients had a safe clean place to walk. He even stated that he would clean the village up, but the band said absolutely not! No non-band member would ever disturb things in our abandoned village site. I was sent to do the clean up and be the watchman. One day I put on my regalia and told our story and my tour path in life was born. Northern Lights was great, they would eventually pay me for my narrations.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grew and so did my company. David paid me later and later each season end, and I noticed he was turning. In the winter of 1999 I had no check from Northern Lights Expeditions. I even called and I was given that it is in the mail routine. Kathleen and I drove to Bellingham where David's office is, and unannounced we walked in. Boy, you should have seen how quick he pulled out his check book! We even got taken out for Sushi dinner that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David stays on our Indian reserve, at least he did until he moved last year July 22nd and forfeited his right to stay on our island. He went so far as to set his camp up on our Indian reserve and bring his clients to and from the island with a non-native water taxi company. Knowing full well I have a new one with the great orca designs painted along the sides. He was rubbing my face in something? You see, if it smells like @!&amp;%, it is probably @!&amp;%. It is one of the most disrespectful things to do, staying on someone's Indian reserve for your financial gain and not offering to at least ask for a request for proposal to transport kayak clients by a band member that has a new water taxi. It is like me taking clients to Alert Bay and hiring a non-native guide to walk them through the island and tell the First Nations story instead of Lillian Hunt with her tour operation. Plain and simple it is disrespect!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token Indian is someone that allows themselves to be used for a non-natives companies client landing abilities without socially or economically benefiting themselves. It is smiling and gaining nothing and doing nothing as non-native companies financially gain from your presence. It is your culture and heritage making money for non-native companies and the First Nation has no gain. It is called false advertising in the non-native world, and I ask each and everyone of you to phone and make Brian and David stand up for what they are advertising. They both are using aboriginal, first nation, traditional sites, and other words that describe kwakwaka'wakw, but where is the component? It is nothing more than acting like you are being nice nice to the Indians for your financial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foregoing relates primarily to Northern Lights although there are sufficient references to Mr. Danyliw (Brian) to conclude that it relates to Wego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Before the termination of their business relationship, Mr. Sewid and Mr. Danyliw had a close relationship. In April 2004, Mr. Sewid signed a letter of support for Wego's land use applications within the Archipelago. The content is difficult to reconcile with Mr. Sewid's evidence that Wego had been culturally insensitive or environmentally irresponsible.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letter, under the letterhead "Village Island Tours &amp; Water Taxi", in its entirety,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Re:</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Support for land use applications by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Brian Danyliw and We Go Kayaking</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worked closely with Brian and his operation since 2001 and have found that his practices are both ethical and respectful. He has actively considered cultural and environmental issues within my people's traditional territory through these and other steps: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Consultation with myself and other First Nations in the area while planning any and all activities and including the appropriate First Nations people in all work undertaken within their traditional territories. Brian has protected and respected all archaeologically significant sites on which he has operated and demonstrated that he is doing so by hiring affected First Nations to work on these sites.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Honouring First Nations' continued rights to support themselves within their traditional territories by contracting First Nations companies and individuals for needed services.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Shown respect for First Nations history and culture by ensuring that all trips include education about the Kwakwaka'wakw people by the Kwakwaka'wakw whose ancestors created the areas archaeologically significant sites. Brian is helping us to inform the world about the native culture in a manner that respects current and past First Nations governance.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importantly, Brian understands that First Nations people have never given up their rights to live and support themselves within their traditional territories and shows myself and other Native people the respect that is due from a guest to their host. He also understands that I and many other Native people are interested in sharing the land and waters for our mutual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 strongly support any and all applications that Brian Danyliw makes to use so called "crown land" as long as he continues to follow this respectful path. If you have any questions or require further information, please give me a call.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Halla kas la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 in peace)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Mr. Sewid acknowledged signing the letter, he contends that it constituted an agreement which Mr. Danyliw breached. The letter is not an agreement nor is it readily apparent why Mr. Sewid claimed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Sewid did say in the letter that his continuing support for Wego applications was contingent on Mr. Danyliw continuing "to follow this respectful path" but Mr. Sewid never withdrew his support during the business relationship. Mr. Danyliw, not Mr. Sewid, decided to end the business relationship. Instead, Mr. Sewid's description of the breach of agreement appeared referable to the later posting of a copy of the letter on the Wego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Sewid contended that Wego misused the letter by posting it. He testified that he first found a copy posted on the website in the fall of 2004. Implicit in his evidence, and explicit in his final argument, was the contention that the inclusion of the letter exploited him and his culture in that he and Wego were no longer doing business. That evidence was proffered in support of the defence of fair comment but it does not assist Mr. Sewid because Wego did not post the letter to its website until after the publication of the "Bad Kayak Companies"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According to Mr. Danyliw, he did not post the letter until March 2005. He testified that he only did so, at that time, in an attempt to offset some of the damage that he attributed to the inclusion of Wego on the "Bad Kayak Companies" list published in late February 2005. He did not, in any way, resile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During final submissions, Ms. Westergaard, on behalf of Mr. Sewid, contended that Mr. Danyliw expressly admitted during cross-examination that he posted the letter in 2004. A review of the transcript reveals that the topic arose twice in cross-examination. On the first occasion, Mr. Danyliw denied the suggestion that he posted the letter before the creation of the kayak review page. The second sequence of questions and answers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support letter you posted, Brian, in 2004 was not in self-defence, was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 exactly?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support letter you posted in 2004 was not in self-defence? Stated, didn't you, yesterday that it was in self-defence why you posted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was trying to counter some of the issues that you were purporting on your website.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the case, you would've removed it after the review page was taken down, wouldn't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necessarily. The case is ongoing.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say that letter of support is still on your website.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of this court case I've been peeking into websites when I get a chance when I'm on Vancouver Island. I haven't seen it, but you say it is posted on your website right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go to those things up top that you hit and brings up pages. What do you call those?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Buttons?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Pardon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Buttons? Links?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Links, yeah, and then I go to the bottom of the pages and you have where all the letters are written in blue and you hit those and you go to another page. What are those called?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Links.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Links. I've gone to all those and I can't find the letter, like in the last week. You say it is posted on your website still.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is it on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case is ongoing.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it showing people by having that letter on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showing that at that point in time you gave me your support.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that time. What benefit is it doing it now with no support, neither one of us support one another 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how many people have seen your site. I don't know how many people have your site in the past and have gone into our site and are looking at it. I honestly don't know what the level of damage is that your website did to our business. I know it's significant. Hence, I have a letter posted up there from you saying that at a point in time you did support our operations.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preamble to the first two questions is, in effect, "the support letter you posted in 2004" but the questions concerned the reasons for posting, not the timing. Mr. Danyliw testified each time when asked directly that the posting was in 2005 not 2004. It is also apparent that the references in the questions to "self-defence" related to Mr. Danyliw's earlier evidence that the posting was a response to the publication of the "Bad Kayak Companies" list in February 2005. I do not accept that Mr. Danyliw admitted or adopted the suggestion in the preamble to the questions that the posting was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prefer Mr. Danyliw's evidence over that of Mr. Sewid. I accept that the support letter was posted to the Wego website in response to the publication of the villageisland.com website in February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trial, Mr. Sewid also explained the basis for environmental concerns about the plaintiffs' operations. During direct evidence, Mr. Sewid listed a number of incidents that he said supported an opinion that there "may be some environmental concerns with [the plaintiffs'] operating practices". I paraphrase them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Northern Lights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knowledge or failure to apply knowledge respecting potential contact with wild animals;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up an outhouse on Compton Island with a non-biodegradable seat and tarp;</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Locating pit toilets too close to the beach head and leaving human waste untreated in pit toilets;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stones from beaches to create kayak runs;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Including too many people in a kayak fleet (up to 16) resulting in midden erosion and damage to areas cleared for tents and camping.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Wego:</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Flushing toilets into small bays with inadequate current flow;</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stones or boulders from beaches;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Abandoned debris at Maggy Point campsite;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Boom stocks under float-house at Maggy Point rubbing on tidal flat area at low tide;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Tent platforms constructed in environmentally sensitive area;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Trees cut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the statement "There may be some environmental concerns with their operating practices as well" appeared on the website, none of this information was included or referenced. I will address the implications of that later when I discuss the defence of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Little attempt was made in cross-examination of either Mr. Danyliw or Mr. Arcese to establish that these events occurred. Mr. Danyliw admitted that his floating lodge was tied below the high tide mark. He admitted that sewage was flushed directly into the ocean. He agreed that Wego did not clean out pit toilets at the end of the season. Mr. Arcese admitted that a cougar attack took place during a 2002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To the extent that Mr. Sewid had environmental concerns, it appears that he did little, if anything, about them at the time. There is no evidence that he ever involved himself in any formal regulatory process other than to provide Mr. Danyliw with the April 2004 letter of support referred to above. It will be recalled that Mr. Sewid stated in the letter that Mr. Danyliw had "actively considered cultural and environmental issues within my people's traditional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Further, there was no direct evidence to contradict the assertions of both Mr. Danyliw and Mr. Arcese that they obtained permission from the Band Council. Mr. Collen described a similar arrangement for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accept the evidence of Mr. Danyliw and Mr. Arcese that they obtained all necessary permissions to use the various sites for the purpose of their businesses. While permission, in the case of the Band Council, was granted informally, there is no evidence that the plaintiffs did not abide by the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Danyliw obtained the necessary approvals and licenses for the various Wego floating lodge sites, foreshore, and campsites on Crown Land, from the Federal and Provincial authorities. He also obtained permission from the Band Councils for camp sites on reserve land. So did Mr. Arcese on behalf of Northern Lights. Both companies paid the Band Council for the camping privileges each year although there were never any formal leases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next section of my judgment, I will identify the legal principles applicable to proof of defamation, the defence of fair comment and finally, to the assessment of damages. Counsel for the plaintiffs relied extensively on a written submission with respect to proof of defamation and the defence of fair comment. Mr. Sewid did not address the law to any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plaintiffs' written submission sets out the legal principles said to be applicable. It was of limited assistance. For the most part, the submission repeated verbatim, without attribution, lengthy extracts from the text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xml:space="preserve"> (Toronto: Irwin Law, 2004). While that text is generally accurate, it is not entirely so. Many of the references to authority in the text appear inaccurate and those errors were carried forward into the submission. In the result, I find it unnecessary to discuss many of the authorities referenced to in the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tort of defamation presents a contest between two deeply-held values of Canadian society: freedom of expression and the individual's right to his or her good name. The Supreme Court of Canada recognized this tension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In affirming the importance of the former, the Court noted, "without this freedom to express ideas and to criticize the operation of institutions and the conduct of individual members of government agencies, democratic forms of government would wither and die" (para. 101). However, the Court pointed out that this freedom has never been absolute (para.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Regarding the individual's right to protection of his reputation, the Court stated, at paras. 107-108: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The other value to be balanced in a defamation action is the protection of the reputation of the individual. Although much has very properly been said and written about the importance of freedom of expression, little has been written of the importance of reputation. Yet, to most people, their good reputation is to be cherished above all. A good reputation is closely related to the innate worthiness and dignity of the individual. It is an attribute that must, just as much as freedom of expression, be protected by society's laws. In order to undertake the balancing required by this case, something must be said about the value of reputation.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[108] Democracy has always recognized and cherished the fundamental importance of an individual. That importance must, in turn, be based upon the good repute of a person. It is that good repute which enhances an individual's sense of worth and value. False allegations can so very quickly and completely destroy a good reputation. A reputation tarnished by libel can seldom regain its former lustre. A democratic society, therefore, has an interest in ensuring that its members can enjoy and protect their good reputation so long as it is merited.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principles inform the law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To make out a claim for defamation, the plaintiffs must prove, on a balance of probabilities, that the defendant published or caused to be published comments about them that were defamatory: see </w:t>
      </w:r>
      <w:r>
        <w:rPr>
          <w:rFonts w:ascii="arial" w:eastAsia="arial" w:hAnsi="arial" w:cs="arial"/>
          <w:i/>
          <w:color w:val="000000"/>
          <w:sz w:val="20"/>
          <w:lang w:val="en-US" w:eastAsia="en-US" w:bidi="ar-SA"/>
        </w:rPr>
        <w:t>Home Equity Development v. Crow</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[2004] B.C.J. No. 177</w:t>
        </w:r>
      </w:hyperlink>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2004 BCSC 124</w:t>
        </w:r>
      </w:hyperlink>
      <w:r>
        <w:rPr>
          <w:rFonts w:ascii="arial" w:eastAsia="arial" w:hAnsi="arial" w:cs="arial"/>
          <w:color w:val="000000"/>
          <w:sz w:val="20"/>
          <w:lang w:val="en-US" w:eastAsia="en-US" w:bidi="ar-SA"/>
        </w:rPr>
        <w:t>, at para. 86. There is no question here that the impugned statements concern the plaintiffs. The two questions for determination are whether the statements were defamatory, and whether Mr. Sewid published them or caused them to be published. If defamation is proven, the onus then shifts to the defendant to prove a valid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Statements are defamatory where they have the tendency to lower the reputation of the plaintiff in the estimation of other members of society: see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2d ed. (Toronto: Carswell, 1999) at 4-20. Here, Wego and Northern Lights say that the impugned statements were defamatory based on the "natural and ordinary meaning" of the words. The test for "natural and ordinary meaning" looks to the meaning that a reasonable person, with an ordinary person's general knowledge, would give to the statement within the statement's context. See </w:t>
      </w:r>
      <w:r>
        <w:rPr>
          <w:rFonts w:ascii="arial" w:eastAsia="arial" w:hAnsi="arial" w:cs="arial"/>
          <w:i/>
          <w:color w:val="000000"/>
          <w:sz w:val="20"/>
          <w:lang w:val="en-US" w:eastAsia="en-US" w:bidi="ar-SA"/>
        </w:rPr>
        <w:t>Hodgson v. Canadian Newspapers</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(1998), 39 O.R. (3d) 235</w:t>
        </w:r>
      </w:hyperlink>
      <w:r>
        <w:rPr>
          <w:rFonts w:ascii="arial" w:eastAsia="arial" w:hAnsi="arial" w:cs="arial"/>
          <w:color w:val="000000"/>
          <w:sz w:val="20"/>
          <w:lang w:val="en-US" w:eastAsia="en-US" w:bidi="ar-SA"/>
        </w:rPr>
        <w:t xml:space="preserve"> (Gen. Div.), at 253, rev'd on other grounds </w:t>
      </w:r>
      <w:hyperlink r:id="rId912" w:history="1">
        <w:r>
          <w:rPr>
            <w:rFonts w:ascii="arial" w:eastAsia="arial" w:hAnsi="arial" w:cs="arial"/>
            <w:i/>
            <w:color w:val="0077CC"/>
            <w:sz w:val="20"/>
            <w:u w:val="single"/>
            <w:shd w:val="clear" w:color="auto" w:fill="FFFFFF"/>
            <w:lang w:val="en-US" w:eastAsia="en-US" w:bidi="ar-SA"/>
          </w:rPr>
          <w:t>(2000), 49 O.R. (3d) 161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all of the impugned statements to be defamatory on the "natural and ordinary meaning" test. All would likely injure the business reputations of both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Typically, a publication of a libel occurs when a defamatory statement is communicated to a third party. Also, as set out in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10th ed. (London: Sweet &amp; Maxwell, 2004), at 171: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common law every republication of a libel is a new libel and, if committed by different persons, each one is liable as if the defamatory statement had originated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question of republication in the internet context raises interesting issues, particularly where there is a limitation issue, that the Court of Appeal recently addressed in </w:t>
      </w:r>
      <w:r>
        <w:rPr>
          <w:rFonts w:ascii="arial" w:eastAsia="arial" w:hAnsi="arial" w:cs="arial"/>
          <w:i/>
          <w:color w:val="000000"/>
          <w:sz w:val="20"/>
          <w:lang w:val="en-US" w:eastAsia="en-US" w:bidi="ar-SA"/>
        </w:rPr>
        <w:t>Carter v. B.C. Federation of Foster Parents Association,</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[2005] B.C.J. No. 1720</w:t>
        </w:r>
      </w:hyperlink>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2005 BCCA 398</w:t>
        </w:r>
      </w:hyperlink>
      <w:r>
        <w:rPr>
          <w:rFonts w:ascii="arial" w:eastAsia="arial" w:hAnsi="arial" w:cs="arial"/>
          <w:color w:val="000000"/>
          <w:sz w:val="20"/>
          <w:lang w:val="en-US" w:eastAsia="en-US" w:bidi="ar-SA"/>
        </w:rPr>
        <w:t>. No such issue arises here. I need not directly address the question of republication.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Here, the real question is whether Mr. Sewid was involved in the communication of the defamatory statements to third parties by means of the internet website rather than one of republication. The length of time that the statements were available for viewing on the internet is significant only on the question of damages flowing from any such involvement and need not be addressed further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If more than one person is involved in a libel, all participants are jointly liable. As the Court stated, at para.176, in </w:t>
      </w:r>
      <w:r>
        <w:rPr>
          <w:rFonts w:ascii="arial" w:eastAsia="arial" w:hAnsi="arial" w:cs="arial"/>
          <w:i/>
          <w:color w:val="000000"/>
          <w:sz w:val="20"/>
          <w:lang w:val="en-US" w:eastAsia="en-US" w:bidi="ar-SA"/>
        </w:rPr>
        <w:t>Hill: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[176] It is a well-established principle that all persons who are involved in the commission of a joint tort are jointly and severally liable for the damages caused by that tort. If one person writes a libel, another repeats it, and a third approves what is written, they all have made the defamatory libel. Both the person who originally utters the defamatory statement, and the individual who expresses agreement with it, are liable for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English Court of Appeal considered joint liability in libel in </w:t>
      </w:r>
      <w:r>
        <w:rPr>
          <w:rFonts w:ascii="arial" w:eastAsia="arial" w:hAnsi="arial" w:cs="arial"/>
          <w:i/>
          <w:color w:val="000000"/>
          <w:sz w:val="20"/>
          <w:lang w:val="en-US" w:eastAsia="en-US" w:bidi="ar-SA"/>
        </w:rPr>
        <w:t>McDonald's Corp. v. Steel</w:t>
      </w:r>
      <w:r>
        <w:rPr>
          <w:rFonts w:ascii="arial" w:eastAsia="arial" w:hAnsi="arial" w:cs="arial"/>
          <w:color w:val="000000"/>
          <w:sz w:val="20"/>
          <w:lang w:val="en-US" w:eastAsia="en-US" w:bidi="ar-SA"/>
        </w:rPr>
        <w:t>, [1999] E.W.J. No. 2173 (C.A.). At para. 195, the court approved the test set out by the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[195] As a matter of law, any person who causes or procures or authorises or concurs in or approves the publication of a libel is as liable for its publication as a person who physically hands it or sends it off to another. It is not necessary to have written or printed the defamatory material. All those jointly concerned in the commission of a tort (civil wrong) are jointly and severally liable for it and this applies to libel as it does to any other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test is appropriate here and I have applied it in my consideration of Mr. Sewid's involvement in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Sewid denied publishing any of the statements but I did not accept his evidence. I am satisfied that he was involved. His participation included formulating, then communicating, authorizing and approving the publication of the statements by Ms. Westergaard on the website. It matters not that Ms. Westergaard may have been the person who actually posted the statements to the website. I am satisfied that the plaintiffs have each proven that Mr. Sewid caused to be published statements on the website about them that were defamatory. The onus shifts accordingly to Mr. Sewid to establish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 Sewid invokes the defence of fair comment. Our Court of Appeal set out the three elements of fair comment in </w:t>
      </w:r>
      <w:r>
        <w:rPr>
          <w:rFonts w:ascii="arial" w:eastAsia="arial" w:hAnsi="arial" w:cs="arial"/>
          <w:i/>
          <w:color w:val="000000"/>
          <w:sz w:val="20"/>
          <w:lang w:val="en-US" w:eastAsia="en-US" w:bidi="ar-SA"/>
        </w:rPr>
        <w:t>Vander Zalm v. Times Publishers</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(1980), 18 B.C.L.R. 210</w:t>
        </w:r>
      </w:hyperlink>
      <w:r>
        <w:rPr>
          <w:rFonts w:ascii="arial" w:eastAsia="arial" w:hAnsi="arial" w:cs="arial"/>
          <w:color w:val="000000"/>
          <w:sz w:val="20"/>
          <w:lang w:val="en-US" w:eastAsia="en-US" w:bidi="ar-SA"/>
        </w:rPr>
        <w:t xml:space="preserve"> (C.A.), at 213. They are: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must be recognizable to the ordinary reasonable man as a comment upon true facts, and not as a bare statement of fact;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commented upon must be one of public interest;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be "fair" in that it must "represent an honest expression of the real view of the person making the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Sewid bears the onus of proving each element of the defence. There is one more important aspect to the defence. The defence of fair comment may be lost if the plaintiff can prove that the statement was made maliciously.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Mr. Sewid need not prove that his comments were true but he must show that they were comments rather than statements of fact. Distinguishing between comment and fact is frequently difficult. An oft-cited example of this difficulty may be found in </w:t>
      </w:r>
      <w:r>
        <w:rPr>
          <w:rFonts w:ascii="arial" w:eastAsia="arial" w:hAnsi="arial" w:cs="arial"/>
          <w:i/>
          <w:color w:val="000000"/>
          <w:sz w:val="20"/>
          <w:lang w:val="en-US" w:eastAsia="en-US" w:bidi="ar-SA"/>
        </w:rPr>
        <w:t>Barltrop v. Canadian Broadcasting Corp.</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(1978), 86 D.L.R. (3d) 61</w:t>
        </w:r>
      </w:hyperlink>
      <w:r>
        <w:rPr>
          <w:rFonts w:ascii="arial" w:eastAsia="arial" w:hAnsi="arial" w:cs="arial"/>
          <w:color w:val="000000"/>
          <w:sz w:val="20"/>
          <w:lang w:val="en-US" w:eastAsia="en-US" w:bidi="ar-SA"/>
        </w:rPr>
        <w:t xml:space="preserve"> (N.S.C.A.(A.D.)), at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vital distinction is pointed up by Ferguson J., in </w:t>
      </w:r>
      <w:r>
        <w:rPr>
          <w:rFonts w:ascii="arial" w:eastAsia="arial" w:hAnsi="arial" w:cs="arial"/>
          <w:i/>
          <w:color w:val="000000"/>
          <w:sz w:val="20"/>
          <w:lang w:val="en-US" w:eastAsia="en-US" w:bidi="ar-SA"/>
        </w:rPr>
        <w:t>Myerson v. Smith's Weekly Publishing Co., Ltd.</w:t>
      </w:r>
      <w:r>
        <w:rPr>
          <w:rFonts w:ascii="arial" w:eastAsia="arial" w:hAnsi="arial" w:cs="arial"/>
          <w:color w:val="000000"/>
          <w:sz w:val="20"/>
          <w:lang w:val="en-US" w:eastAsia="en-US" w:bidi="ar-SA"/>
        </w:rPr>
        <w:t xml:space="preserve"> (1923), 24 S.R. (N.S.W.) 20 at p. 26, quoted by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512: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say that a man's conduct was dishonourable is not comment, it is a statement of fact. To say that he did certain specific things and thus his conduct was dishonourable is a statement of fact coupled with a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distinction is fundamental. An assertion of fact can never be defended as fair comment. See also </w:t>
      </w:r>
      <w:r>
        <w:rPr>
          <w:rFonts w:ascii="arial" w:eastAsia="arial" w:hAnsi="arial" w:cs="arial"/>
          <w:i/>
          <w:color w:val="000000"/>
          <w:sz w:val="20"/>
          <w:lang w:val="en-US" w:eastAsia="en-US" w:bidi="ar-SA"/>
        </w:rPr>
        <w:t>Ross v. New Brunswick Teachers' Association</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(2001), 201 D.L.R. (4th) 75</w:t>
        </w:r>
      </w:hyperlink>
      <w:r>
        <w:rPr>
          <w:rFonts w:ascii="arial" w:eastAsia="arial" w:hAnsi="arial" w:cs="arial"/>
          <w:color w:val="000000"/>
          <w:sz w:val="20"/>
          <w:lang w:val="en-US" w:eastAsia="en-US" w:bidi="ar-SA"/>
        </w:rPr>
        <w:t xml:space="preserve"> (N.B.C.A.),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test for distinguishing between fact and comment is whether the ordinary reasonable person could recognize the communication as a comment based on true facts, rather than a bare statement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comment must also be based on a foundation of true facts. Such a foundation allows for the comment's reader to arrive at his or her own conclusion regarding the author's ultimate opinion. These true facts must be distinguishable from the comment itself, either through the author's express presentation of the facts or through their being well-known to the reader: </w:t>
      </w:r>
      <w:r>
        <w:rPr>
          <w:rFonts w:ascii="arial" w:eastAsia="arial" w:hAnsi="arial" w:cs="arial"/>
          <w:i/>
          <w:color w:val="000000"/>
          <w:sz w:val="20"/>
          <w:lang w:val="en-US" w:eastAsia="en-US" w:bidi="ar-SA"/>
        </w:rPr>
        <w:t>Barltrop</w:t>
      </w:r>
      <w:r>
        <w:rPr>
          <w:rFonts w:ascii="arial" w:eastAsia="arial" w:hAnsi="arial" w:cs="arial"/>
          <w:color w:val="000000"/>
          <w:sz w:val="20"/>
          <w:lang w:val="en-US" w:eastAsia="en-US" w:bidi="ar-SA"/>
        </w:rPr>
        <w:t xml:space="preserve"> at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Absent a proper factual foundation, the defence of fair comment will fail. In </w:t>
      </w:r>
      <w:r>
        <w:rPr>
          <w:rFonts w:ascii="arial" w:eastAsia="arial" w:hAnsi="arial" w:cs="arial"/>
          <w:i/>
          <w:color w:val="000000"/>
          <w:sz w:val="20"/>
          <w:lang w:val="en-US" w:eastAsia="en-US" w:bidi="ar-SA"/>
        </w:rPr>
        <w:t>McDonald's Corporation,</w:t>
      </w:r>
      <w:r>
        <w:rPr>
          <w:rFonts w:ascii="arial" w:eastAsia="arial" w:hAnsi="arial" w:cs="arial"/>
          <w:color w:val="000000"/>
          <w:sz w:val="20"/>
          <w:lang w:val="en-US" w:eastAsia="en-US" w:bidi="ar-SA"/>
        </w:rPr>
        <w:t xml:space="preserve"> at para. 591, the English Court of Appeal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Bare statements, which are not obviously capable only of being expressions of opinion, will usually be statements of fact. The same such statements may be comment, if there are also facts stated or indicated upon which the statements are comment. The defence will fail if the facts upon which the statements are comment are not shown to be sufficiently true to support the comment as objectively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On the question of malice, Mr. Sewid's comments must not contain any imputation of corrupt or dishonourable motives on the party whose conduct is criticized unless such imputations are warranted by the facts. See </w:t>
      </w:r>
      <w:r>
        <w:rPr>
          <w:rFonts w:ascii="arial" w:eastAsia="arial" w:hAnsi="arial" w:cs="arial"/>
          <w:i/>
          <w:color w:val="000000"/>
          <w:sz w:val="20"/>
          <w:lang w:val="en-US" w:eastAsia="en-US" w:bidi="ar-SA"/>
        </w:rPr>
        <w:t>Vogel v. Canadian Broadcasting Corp.</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[1982] 3 W.W.R. 97</w:t>
        </w:r>
      </w:hyperlink>
      <w:r>
        <w:rPr>
          <w:rFonts w:ascii="arial" w:eastAsia="arial" w:hAnsi="arial" w:cs="arial"/>
          <w:color w:val="000000"/>
          <w:sz w:val="20"/>
          <w:lang w:val="en-US" w:eastAsia="en-US" w:bidi="ar-SA"/>
        </w:rPr>
        <w:t xml:space="preserve"> (B.C.S.C.) at 173. Malice deprives any comment of the necessary element of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To be fair comment, the comment must engage the public interest. The courts have generally interpreted that broadly. See </w:t>
      </w:r>
      <w:r>
        <w:rPr>
          <w:rFonts w:ascii="arial" w:eastAsia="arial" w:hAnsi="arial" w:cs="arial"/>
          <w:i/>
          <w:color w:val="000000"/>
          <w:sz w:val="20"/>
          <w:lang w:val="en-US" w:eastAsia="en-US" w:bidi="ar-SA"/>
        </w:rPr>
        <w:t>Reynolds v. Times Newspapers</w:t>
      </w:r>
      <w:r>
        <w:rPr>
          <w:rFonts w:ascii="arial" w:eastAsia="arial" w:hAnsi="arial" w:cs="arial"/>
          <w:color w:val="000000"/>
          <w:sz w:val="20"/>
          <w:lang w:val="en-US" w:eastAsia="en-US" w:bidi="ar-SA"/>
        </w:rPr>
        <w:t>, [1999] 4 All E.R. 609 (H.L.) at 614-615.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Finally, the test for whether an impugned comment is fair and honest consists of both objective and subjective elements: </w:t>
      </w:r>
      <w:r>
        <w:rPr>
          <w:rFonts w:ascii="arial" w:eastAsia="arial" w:hAnsi="arial" w:cs="arial"/>
          <w:i/>
          <w:color w:val="000000"/>
          <w:sz w:val="20"/>
          <w:lang w:val="en-US" w:eastAsia="en-US" w:bidi="ar-SA"/>
        </w:rPr>
        <w:t>Cherneskey v. Armadale Publishers</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[1979] 1 S.C.R. 1067</w:t>
        </w:r>
      </w:hyperlink>
      <w:r>
        <w:rPr>
          <w:rFonts w:ascii="arial" w:eastAsia="arial" w:hAnsi="arial" w:cs="arial"/>
          <w:color w:val="000000"/>
          <w:sz w:val="20"/>
          <w:lang w:val="en-US" w:eastAsia="en-US" w:bidi="ar-SA"/>
        </w:rPr>
        <w:t xml:space="preserve">. To be objective, the comment must be fair in the sense that a person could honestly express the opinion based on the proved facts (at 1100). As set out in </w:t>
      </w:r>
      <w:r>
        <w:rPr>
          <w:rFonts w:ascii="arial" w:eastAsia="arial" w:hAnsi="arial" w:cs="arial"/>
          <w:i/>
          <w:color w:val="000000"/>
          <w:sz w:val="20"/>
          <w:lang w:val="en-US" w:eastAsia="en-US" w:bidi="ar-SA"/>
        </w:rPr>
        <w:t>Defamation Law in Canada</w:t>
      </w:r>
      <w:r>
        <w:rPr>
          <w:rFonts w:ascii="arial" w:eastAsia="arial" w:hAnsi="arial" w:cs="arial"/>
          <w:color w:val="000000"/>
          <w:sz w:val="20"/>
          <w:lang w:val="en-US" w:eastAsia="en-US" w:bidi="ar-SA"/>
        </w:rPr>
        <w:t>, at 15-80: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is whether any person, "however prejudiced and obstinate, could honestly hold the view expressed by the defendant." In other words, on the basis of the proved facts, could a fair-minded person honestly express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Concerning the subjective part of the test, the Court in </w:t>
      </w:r>
      <w:r>
        <w:rPr>
          <w:rFonts w:ascii="arial" w:eastAsia="arial" w:hAnsi="arial" w:cs="arial"/>
          <w:i/>
          <w:color w:val="000000"/>
          <w:sz w:val="20"/>
          <w:lang w:val="en-US" w:eastAsia="en-US" w:bidi="ar-SA"/>
        </w:rPr>
        <w:t>Cherneskey</w:t>
      </w:r>
      <w:r>
        <w:rPr>
          <w:rFonts w:ascii="arial" w:eastAsia="arial" w:hAnsi="arial" w:cs="arial"/>
          <w:color w:val="000000"/>
          <w:sz w:val="20"/>
          <w:lang w:val="en-US" w:eastAsia="en-US" w:bidi="ar-SA"/>
        </w:rPr>
        <w:t xml:space="preserve"> (at 1086-87) concluded that the publisher of the comment must subjectively believe the comment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defence of fair comment fails in the present case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the possible exception of the reference to "possible environmental concerns with their operating practices", the statements were presented as facts rather than as comment based on true facts. Even if any might be interpreted as comment, the website did not include any substratum of fact in support. This includes the statements referring to the possible environmental concerns. In the result, the reader had no means of assessing the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have also found that Mr. Sewid published the defamatory comments to injure the plaintiffs' businesses and to gain an economic advantage. In my view, Mr. Sewid acted maliciously. This alone is sufficient to deprive him of the defence of fair comment. For all these reasons, Mr. Sewid failed to establish the defence of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turn next to the question of damages. I will start with the applicable legal principles and then discuss the evidence respecting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Once libel is proved, harm to the plaintiff's reputation is presumed. The plaintiff need not prove general damages. See </w:t>
      </w:r>
      <w:r>
        <w:rPr>
          <w:rFonts w:ascii="arial" w:eastAsia="arial" w:hAnsi="arial" w:cs="arial"/>
          <w:i/>
          <w:color w:val="000000"/>
          <w:sz w:val="20"/>
          <w:lang w:val="en-US" w:eastAsia="en-US" w:bidi="ar-SA"/>
        </w:rPr>
        <w:t>Home Equity Development,</w:t>
      </w:r>
      <w:r>
        <w:rPr>
          <w:rFonts w:ascii="arial" w:eastAsia="arial" w:hAnsi="arial" w:cs="arial"/>
          <w:color w:val="000000"/>
          <w:sz w:val="20"/>
          <w:lang w:val="en-US" w:eastAsia="en-US" w:bidi="ar-SA"/>
        </w:rPr>
        <w:t xml:space="preserve"> at para. 155. The appropriate amount of general damages depends on the precise circumstances of the case. The court usually considers factors such as the nature and circumstances of the publication of the libel; the nature and position of the victim of the libel; the possible effects of the libel statement upon the life of the plaintiff; and the actions and motivations of the defendants. As each libel case is unique, there is little to be gained from a detailed comparison of libel awards. See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General damages are intended to provide comfort for personal distress and to vindicate one's reputation, including one's business reputation: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at 25-16.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this case, both plaintiffs are corporations rather than human beings. Corporations are incapable of suffering personal distress and may not receive general damages under that particular head. The plaintiffs may only receive damages for injury to their business reputations.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Proof of general economic loss may demonstrate injury to a business's reputation. In </w:t>
      </w:r>
      <w:r>
        <w:rPr>
          <w:rFonts w:ascii="arial" w:eastAsia="arial" w:hAnsi="arial" w:cs="arial"/>
          <w:i/>
          <w:color w:val="000000"/>
          <w:sz w:val="20"/>
          <w:lang w:val="en-US" w:eastAsia="en-US" w:bidi="ar-SA"/>
        </w:rPr>
        <w:t>Walker v. CFTO Ltd.</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(1987), 37 D.L.R. (4th) 224</w:t>
        </w:r>
      </w:hyperlink>
      <w:r>
        <w:rPr>
          <w:rFonts w:ascii="arial" w:eastAsia="arial" w:hAnsi="arial" w:cs="arial"/>
          <w:color w:val="000000"/>
          <w:sz w:val="20"/>
          <w:lang w:val="en-US" w:eastAsia="en-US" w:bidi="ar-SA"/>
        </w:rPr>
        <w:t xml:space="preserve"> (Ont. C.A.), the leading case on corporate libel damages, the Ontario Court of Appeal held that corporations generally should not receive large awards for loss of reputation, unless economic loss is also shown. The court relied, in part, on </w:t>
      </w:r>
      <w:r>
        <w:rPr>
          <w:rFonts w:ascii="arial" w:eastAsia="arial" w:hAnsi="arial" w:cs="arial"/>
          <w:i/>
          <w:color w:val="000000"/>
          <w:sz w:val="20"/>
          <w:lang w:val="en-US" w:eastAsia="en-US" w:bidi="ar-SA"/>
        </w:rPr>
        <w:t>Lewis v. Daily Telegraph Ltd.</w:t>
      </w:r>
      <w:r>
        <w:rPr>
          <w:rFonts w:ascii="arial" w:eastAsia="arial" w:hAnsi="arial" w:cs="arial"/>
          <w:color w:val="000000"/>
          <w:sz w:val="20"/>
          <w:lang w:val="en-US" w:eastAsia="en-US" w:bidi="ar-SA"/>
        </w:rPr>
        <w:t>, [1963] 2 All E.R. 151 (H.L.), at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company cannot be injured in its feelings, it can only be injured in its pocket. Its reputation can be injured by a libel, but that injury must sound in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xml:space="preserve"> the court went on to say that such injury could include goodwill, as well as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(1998), 61 B.C.L.R. (3d) 1</w:t>
        </w:r>
      </w:hyperlink>
      <w:r>
        <w:rPr>
          <w:rFonts w:ascii="arial" w:eastAsia="arial" w:hAnsi="arial" w:cs="arial"/>
          <w:color w:val="000000"/>
          <w:sz w:val="20"/>
          <w:lang w:val="en-US" w:eastAsia="en-US" w:bidi="ar-SA"/>
        </w:rPr>
        <w:t xml:space="preserve"> (C.A.), at para. 107, the British Columbia Court of Appeal included within general damages "social damage and possible economic damage which may result but which cannot be expressly proven." Southin J.A. went on to assert that this aspect was "particularly important, in my opinion, in defamation in the mass media." In my opinion, the potential audience reach creates a parallel between multiple internet publications and publications in the mass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Court of Appeal applied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Pressler v. Lethbridge</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(2000), 86 B.C.L.R. (3d) 257</w:t>
        </w:r>
      </w:hyperlink>
      <w:r>
        <w:rPr>
          <w:rFonts w:ascii="arial" w:eastAsia="arial" w:hAnsi="arial" w:cs="arial"/>
          <w:color w:val="000000"/>
          <w:sz w:val="20"/>
          <w:lang w:val="en-US" w:eastAsia="en-US" w:bidi="ar-SA"/>
        </w:rPr>
        <w:t xml:space="preserve">, to uphold a defamation award of $50,000 for damage to a pharmacy career. See </w:t>
      </w:r>
      <w:r>
        <w:rPr>
          <w:rFonts w:ascii="arial" w:eastAsia="arial" w:hAnsi="arial" w:cs="arial"/>
          <w:i/>
          <w:color w:val="000000"/>
          <w:sz w:val="20"/>
          <w:lang w:val="en-US" w:eastAsia="en-US" w:bidi="ar-SA"/>
        </w:rPr>
        <w:t>Pressler,</w:t>
      </w:r>
      <w:r>
        <w:rPr>
          <w:rFonts w:ascii="arial" w:eastAsia="arial" w:hAnsi="arial" w:cs="arial"/>
          <w:color w:val="000000"/>
          <w:sz w:val="20"/>
          <w:lang w:val="en-US" w:eastAsia="en-US" w:bidi="ar-SA"/>
        </w:rPr>
        <w:t xml:space="preserve"> at paras. 93-94.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observe that general economic loss may also be an independent head of general damages, along with injury to the plaintiff's reputation and injury to the plaintiff's feelings: </w:t>
      </w:r>
      <w:r>
        <w:rPr>
          <w:rFonts w:ascii="arial" w:eastAsia="arial" w:hAnsi="arial" w:cs="arial"/>
          <w:i/>
          <w:color w:val="000000"/>
          <w:sz w:val="20"/>
          <w:lang w:val="en-US" w:eastAsia="en-US" w:bidi="ar-SA"/>
        </w:rPr>
        <w:t>Hubert v. DeCamillis</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(1963), 41 D.L.R. (2d) 495</w:t>
        </w:r>
      </w:hyperlink>
      <w:r>
        <w:rPr>
          <w:rFonts w:ascii="arial" w:eastAsia="arial" w:hAnsi="arial" w:cs="arial"/>
          <w:color w:val="000000"/>
          <w:sz w:val="20"/>
          <w:lang w:val="en-US" w:eastAsia="en-US" w:bidi="ar-SA"/>
        </w:rPr>
        <w:t xml:space="preserve"> (B.C.S.C.), at 510-11. This is important when a plaintiff establishes economic loss but without sufficient precision to support a claim for special damages. A claim for special damages, on the other hand, requires more specific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 corporate plaintiff may also claim special damages for specific economic loss that was caused by the defamation. Special damages, unlike general damages, are not presumed. The plaintiff must allege and prove special damages at trial. Such losses must be the "natural and proximate result" of the defamatory publication, and capable of monetary measurement. Such losses must also be established with "reasonable certainty" and must be more than mere "speculation and surmise" (</w:t>
      </w:r>
      <w:r>
        <w:rPr>
          <w:rFonts w:ascii="arial" w:eastAsia="arial" w:hAnsi="arial" w:cs="arial"/>
          <w:i/>
          <w:color w:val="000000"/>
          <w:sz w:val="20"/>
          <w:lang w:val="en-US" w:eastAsia="en-US" w:bidi="ar-SA"/>
        </w:rPr>
        <w:t>Law of Defamation in Canada</w:t>
      </w:r>
      <w:r>
        <w:rPr>
          <w:rFonts w:ascii="arial" w:eastAsia="arial" w:hAnsi="arial" w:cs="arial"/>
          <w:color w:val="000000"/>
          <w:sz w:val="20"/>
          <w:lang w:val="en-US" w:eastAsia="en-US" w:bidi="ar-SA"/>
        </w:rPr>
        <w:t xml:space="preserve"> at 25-24, 25-156).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Special damages are exceptional in defamation cases because it is usually difficult to ascertain the extent of the damage to one's reputation. See </w:t>
      </w:r>
      <w:r>
        <w:rPr>
          <w:rFonts w:ascii="arial" w:eastAsia="arial" w:hAnsi="arial" w:cs="arial"/>
          <w:i/>
          <w:color w:val="000000"/>
          <w:sz w:val="20"/>
          <w:lang w:val="en-US" w:eastAsia="en-US" w:bidi="ar-SA"/>
        </w:rPr>
        <w:t>Hodgson v. Canadian Newspapers Company Ltd.</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(2000), 49 O.R. (3d) 161</w:t>
        </w:r>
      </w:hyperlink>
      <w:r>
        <w:rPr>
          <w:rFonts w:ascii="arial" w:eastAsia="arial" w:hAnsi="arial" w:cs="arial"/>
          <w:color w:val="000000"/>
          <w:sz w:val="20"/>
          <w:lang w:val="en-US" w:eastAsia="en-US" w:bidi="ar-SA"/>
        </w:rPr>
        <w:t xml:space="preserve"> (C.A.), at paras. 67-69.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There are two other categories of damages to consider in defamation cases: aggravated and punitive, or exemplary, damages. The plaintiffs pleaded both here. Corporate plaintiffs cannot receive aggravated damages because aggravated damages are intended to compensate for mental distress and hurt feelings: see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at 233. In </w:t>
      </w:r>
      <w:r>
        <w:rPr>
          <w:rFonts w:ascii="arial" w:eastAsia="arial" w:hAnsi="arial" w:cs="arial"/>
          <w:i/>
          <w:color w:val="000000"/>
          <w:sz w:val="20"/>
          <w:lang w:val="en-US" w:eastAsia="en-US" w:bidi="ar-SA"/>
        </w:rPr>
        <w:t>Pinewood Recording Studios Ltd. v. City Tower Development Corp.</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(1998), 61 B.C.L.R. (3d) 110</w:t>
        </w:r>
      </w:hyperlink>
      <w:r>
        <w:rPr>
          <w:rFonts w:ascii="arial" w:eastAsia="arial" w:hAnsi="arial" w:cs="arial"/>
          <w:color w:val="000000"/>
          <w:sz w:val="20"/>
          <w:lang w:val="en-US" w:eastAsia="en-US" w:bidi="ar-SA"/>
        </w:rPr>
        <w:t xml:space="preserve"> (C.A.), an action brought in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trespass, the British Columbia Court of Appeal agreed with this principle. The court concluded, at para. 72,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very doubtful that aggravated damages can be awarded to a corporation, given that the purpose of such damages is to compensate for intangible injury such as mental distress or hurt feelings resulting from the wrong in question ... It is difficult to see how a corporation can have injured feelings, as distinct from loss of business reputation or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Plaintiffs' counsel relied on </w:t>
      </w:r>
      <w:r>
        <w:rPr>
          <w:rFonts w:ascii="arial" w:eastAsia="arial" w:hAnsi="arial" w:cs="arial"/>
          <w:i/>
          <w:color w:val="000000"/>
          <w:sz w:val="20"/>
          <w:lang w:val="en-US" w:eastAsia="en-US" w:bidi="ar-SA"/>
        </w:rPr>
        <w:t>Home Equity Development</w:t>
      </w:r>
      <w:r>
        <w:rPr>
          <w:rFonts w:ascii="arial" w:eastAsia="arial" w:hAnsi="arial" w:cs="arial"/>
          <w:color w:val="000000"/>
          <w:sz w:val="20"/>
          <w:lang w:val="en-US" w:eastAsia="en-US" w:bidi="ar-SA"/>
        </w:rPr>
        <w:t xml:space="preserve"> in support of the claim for aggravated damages but, in that case, there was a personal plaintiff as well as the two companies that he controlled. It is clear from the analysis of aggravated damages that the award of aggravated damages related to the impact on the individual plaintiff's reputation rather than to his businesses. See paras. 163 - 174.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principals of the plaintiff companies are not parties to this proceeding. Accordingly, I decline to award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Punitive damages, on the other hand, are available to a corporate plaintiff. Punitive damages are awarded against a defendant in exceptional cases for "malicious, oppressive and high-handed" misconduct that "offends the court's sense of decency". See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196. Unlike compensatory damages, punitive damages are to punish the defendant rather than to compensate the plaintiff: see </w:t>
      </w:r>
      <w:r>
        <w:rPr>
          <w:rFonts w:ascii="arial" w:eastAsia="arial" w:hAnsi="arial" w:cs="arial"/>
          <w:i/>
          <w:color w:val="000000"/>
          <w:sz w:val="20"/>
          <w:lang w:val="en-US" w:eastAsia="en-US" w:bidi="ar-SA"/>
        </w:rPr>
        <w:t>Whiten v. Pilot Insurance</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test for punitive damages is whether the defendant's conduct "represents a marked departure from the ordinary standards of decent behaviour"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36). Punitive damages should only be awarded where the compensatory damages are insufficient to achieve the objectives of punishment and deterrence: see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196. Punitive damages should be assessed in an amount reasonably proportionate to such factors as the harm caused, the degree of misconduct, the relative vulnerability of the plaintiff, and any advantage or profit gained by the defendant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the present case, the plaintiffs claim damages for lost revenues (special damages), general damages and aggravated damages. Both abandoned, albeit conditionally, their claim for exemplary, or punitive, damages. But, as I set out above, the plaintiffs as corporations are not entitled to aggravated damages. Accordingly, I propose to consider their claims for general and special damages, and then consider whether to award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for the plaintiffs submitted that Wego suffered a revenue loss of $259,000 as a direct consequence of the defamation and that, in addition, a fair and reasonable award for general damages is $100,000. The business is now for sale. Wego contends that it will not be able to recover any significant amount for goodwill in light of the damage attributable to the defamation. This, in effect, according to Wego, is the measure of damage to the reputation of the company. In argument, counsel suggested that the awards sought would satisfy the need to punish Mr. Sewid and obviate any need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Counsel further contended that Northern Lights suffered a proven economic loss of $198,000 based on the calculations of Mr. Arcese referred to below. As to general damages, Northern Lights contended that the loss of goodwill has been about $100,000 to date. Finally, it took the same position as Wego respecting its claim for punitive damages. On this basis, Northern Lights sought a total award of $298,000 excluding its additional claim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did not find the evidence of economic loss sufficiently complete or reliable to accept the economic loss calculations of either plaintiff. Nor did I accept their calculations of the loss of goodwill. In each case, the principal of the company relied on limited factors to calculate past and projected losses. The underlying financial data was incomplete, particularly for Northern Lights, and, in any event, expert evidence would be required to accept the reliability of the conclusions. While the principals tried their best, in each case, the approach was demonstrably simplistic and failed to take into account obvious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Northern Lights was well established before 2005. It not only operated a kayak fleet but also operated a cruise vessel, the Spirit Bear, in the same general area. This duality created difficulties in assessing the reliability of the financial evidence and summaries presented because the expenses for operating the Spirit Bear must differ significantly from the expenses of operating the kayak fleet. I am not persuaded that the Profit and Loss Comparison or the information summaries in evidence adequately delineated between the two aspects of Northern Lights'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Wego, on the other hand, was still a relatively new company in 2004 and made a profit for the first time that year, albeit a minimal one. Leaving aside the obvious difficulty in determining the economic loss for a fledgling business, the records show a steady increase in business before the publication of the villageisland.com webpage in February 2005. Following publication, Wego then sustained a significant net loss in 2005. The 2005 loss was almost double the previous loss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turn below to the evidence in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financial statements for Wego showed the following pattern starting with a net loss: 2003 - ($16,088); 2004 - $7,195; 2005 - (30,166). Comparative sales figures are in evidence. For the period, 2002 to 2005, gross sales were $90,927, $131,096, $210,395 and $138,608 respectively. This evidence suggests that whatever ground Wego gained by 2004, it significantly lost in 2005. According to Mr. Danyliw, sales grew 65 per cent between 2002 and 2003; another 62 per cent between 2003 and 2004; and in 2005, sales dropped 18 per cent. Wego did not tender any evidence of sales figures for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Danyliw testified that the client base for each of the years 2002 to 2006 were as follows: 2002 - 78; 2003 - 129; 2004 - 209; 2005 - 171; and 2006 - 140.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Using 209 as a little more than break even point, it is apparent that the decline in 2005 carried through to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accept that Wego sustained a loss in 2005 and likely sustained a further loss in 2006. Mr. Sewid contends that is inconsistent with Wego's own in-house financial projection as at July 31, 2006. That document projected a profit for 2006 but the author assumed 172 guests for the year which never came to pass. Accordingly, the projection was just that, a projection.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Calculating the Wego loss is difficult. Mr. Danyliw estimated the "financial loss" at about $189,000. He did not explain that estimate. Mr. Danyliw did not expressly factor in costs so it appears the estimate was the loss of gross sales. By my calculation, Wego would not have achieved additional gross sales of $189,000 in 2005 even if growth had continued uninterrupted. It follows that it could not have achieved net sales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do not accept Mr. Danyliw's estimate of loss. It was not sufficiently complete or helpful. I am not persuaded that any reliable estimate of past loss attributable to the publication of the web page is possible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Northern Lights relied on a summarized profit and loss comparison for 2004 to 2006. That document did not break down the income and expenses between the kayaking fleet and the operation of the Spirit Bear. Nor did it attribute commission income to the year in which it was earned rather than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Northern Lights also relied on a summary showing the number of kayaking guests and total income. That summary shows: 2004: 332 guests - $381,647.46; 2005: 226 guests - $295,701.25; 2006: 280 guests - $355,288.52. While it is apparent that the number of guests declined in 2005 and then regained substantial ground in 2006, the summary also notes that the 2004 number was less than the previous year. I am also unable to determine the net loss to the kayak operation from either of the summaries.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do not accept that the loss of potential bookings and consequent economic loss can be calculated with any reliable precision. Mr. Arcese attempted to do so, based on existing Northern Lights records, but I am not persuaded that the process produced a reliable result. I do not accept his calculations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decline to award special damages to either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Even though I cannot determine the plaintiffs' respective economic losses with any precision, I am entitled to take the losses into account in fixing general damages. General damages for defamation may have an economic component even though it is incapable of precise quantification. Further, I am satisfied that, in each case, the bookings declined following the initial publication of the defamatory comments. I also accept these other important factors.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downwards spike in guests for both plaintiffs in 2005 was attributable to the publication and republication of the villageisland.com website. There were no other identifiable factors to explain such a drop within weeks after the website came online.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Wego would have continued to grow at about the same rate as it had the previous two years. Nonetheless, it is apparent that 2004 was little more than a break even year. It is unlikely that it would have made a significant profit in 2005 and 2006 even if there had not been a defamatory publication.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Northern Lights made a reasonable decision at the end of the 2005 season to plan fewer trips for 2006 than in 2004. This was because Northern Lights had to commit to and pay most of the costs at the beginning of the season. Northern Lights had to modify its business plan for 2006 by committing to fewer kayaking trips because it did not then know how long the website would remain in operation. Accordingly, I do not fault Northern Lights for operating at less than full capacity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also accept that much of the bookings in any given year in the eco-tourism business come from returnees or persons referred by past guests. I take into account that there was a loss of opportunity to obtain business and future goodwill that will carry somewhat forward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Taking into account all the factors set out, I award Wego general damages of $100,000 and Northern Lights general damages of $150,000. This leaves the question whether the compensatory damages are sufficient to achieve the objectives of punishment and deterrence. With that in mind, I turn to the question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take into account that the publication was malicious. Mr. Sewid intended to harm the business interests of the plaintiffs with a view to removing them as competitors or, at least, forcing them to do business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is an additional indicator of malice respecting Northern Lights arising out of an aspect of the publication not yet mentioned in my reasons. In mid-March 2006, the website reference to Northern Lights read as Northern "Exploitations". Regardless of when this change was made, it was obviously intended as a derogatory reference. After the service provider removed access to the webpage, Mr. Sewid, or Ms. Westergaard on his behalf, moved it to a different page and, at that point, removed the reference to Northern Exploitations. By March 14, 2006, the webpage had been altered again to republish the reference to "Exploitations". The webpage was not finally removed until the court continued the injunction against Mr. Sewid as an interim order on April 28, 2006, some 14 months after the initial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Counsel for the plaintiffs also contended that I should also take into account the conduct of Mr. Sewid during the trial. I am reluctant to do so. There is an obvious danger that I would be punishing Mr. Sewid for conduct attributable to Ms. Westergaard who assisted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am satisfied that Mr. Sewid's conduct is deserving of punishment and deterrence. I am further satisfied that the awards for general damages are not sufficient and that there should be a modest additional award of punitive damages in the circumstances. I award punitive damages to Wego of $2,500 and to Northern Lights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Having found in favour of the plaintiffs respecting their claims for general and punitive damages, I summarize the awards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WEGO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2301"/>
        <w:gridCol w:w="1359"/>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2510"/>
        <w:gridCol w:w="1150"/>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Punitive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$102,500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NORTHERN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2301"/>
        <w:gridCol w:w="1359"/>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2510"/>
        <w:gridCol w:w="1150"/>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Punitive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$155,000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addition, the plaintiffs are entitled to their costs throughout on Scale B. Apart from instructing counsel, the plaintiffs are limited to a single bill of costs to avoid duplication. I grant leave to speak to the effect of any Offer to Settle if the outcome at trial supports a different cost order under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Culver v. Skrypnyk, [2019] B.C.J. No. 912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7-11, 14-18 and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M166425, M166413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912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2019 BCSC 807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Zachary Simon Culver, Plaintiff, and David M. Skrypnyk and Lisa Anne Bradley, Defendants And between Zachary Simon Culver, Plaintiff, and Hua Liang Huang,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(264 paras.)</w:t>
      </w:r>
    </w:p>
    <w:p>
      <w:pPr>
        <w:jc w:val="both"/>
        <w:rPr>
          <w:rFonts w:ascii="arial" w:eastAsia="arial" w:hAnsi="arial" w:cs="arial"/>
          <w:sz w:val="20"/>
          <w:lang w:val="en-US" w:eastAsia="en-US" w:bidi="ar-SA"/>
        </w:rPr>
      </w:pPr>
      <w:bookmarkStart w:id="277" w:name="Counsel_43"/>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Kendall, S. Khazamipour.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D.H. Taylor, J. Chow.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8" w:name="Judgment_43"/>
      <w:bookmarkEnd w:id="278"/>
      <w:r>
        <w:pict>
          <v:line id="_x0000_s1229" style="position:absolute;z-index:2517544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AND OTHER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Non-Pecuniary Damages for Pain and Suffering and Loss of Enjoyment of Life</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Earning Capacity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 Earning Capacity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9" w:name="B.M. DAVIES J."/>
            <w:bookmarkEnd w:id="279"/>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15, 2015, in Victoria, British Columbia, the plaintiff Zachary Culver was a passenger in a car operated by his girlfriend, the defendant Lisa Bradley. He suffered injuries when Ms. Bradley's vehicle struck a vehicle operated by the defendant, David Skrypnyk.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Culver was also injured in a second collision in Vancouver, British Columbia, on June 4, 2016, when the vehicle he was driving was struck from behind by a vehicle driven by the defendant, Hua Huang.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Culver's claims against Mr. Skrypnyk have been discontinued. His continuing claims against Ms. Bradley and Mr. Huang in the two actions that comprise the style of cause in this case have been joined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liability of both defendants has been admitted. There are no claims as between the defendants for an apportionment of the damages suffered by Mr. Culver.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Culver seeks recovery for the losses suffered in the two collisions under the following heads of damage: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and future earning capacity;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that have not been agreed upon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Culver was born in Ontario and is now 37 years old. He was almost 33 years old when he was injured in the motor vehicle collision in Victoria and 34 at the time of the collision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Culver has led an interesting life. He was the seventh of seven children and grew up in a small town in Ontario. In those early years he came to have a great love for the outdoors that he still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an early age he was home schooled by his parents as were some of his siblings. However, Mr. Culver had difficulties with learning that his brothers and sisters did not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about age 9 or 10 Ms. Culver was diagnosed with dyslexia. His dyslexia is more complicated than that usually associated with that learning disability which generally inhibits an individual's reading, writing and arithmetic skills. Mr. Culver also, however, suffers from scotopic sensitivity syndrome, a problem with one of the nerves that lets light into the eye. That additional problem exacerbates the effect of dyslexia by causing letters or numbers to move around a written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Accordingly, Mr. Culver has great difficulty focussing on printed words or numbers and his learning from print is greatly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Notwithstanding those physical challenges to academic study and associated problems that have negatively impacted his self-esteem Mr. Culver has, as I will later discuss, with time, accommodations, the assistance of others and most specifically personal perseverance been able to complete Grade 12 English and other high school level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Before he was able to accomplish that educational milestone that he reached in his early thirties Mr. Culver travelled extensively and worked while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age of 15 with the support of his family Mr. Culver left school and home and lived in a Christian Commune in Chicago, Illinois by the name of Jesus People USA. As a part of that communal life he performed janitorial duties, cleaned dishes and did yard work. He worked in the kitchen and in the commune's shirt printing facility. He also travelled with a Christian band as a "Roadie" helping to set up concerts. Mr. Culver still has a continuing love of music and plays the guitar.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about age 16 or 17 Mr. Culver returned to Ontario and attended sessions with an adult education group. He did not enjoy academic success and by the time he was 18 had begun to work full time doing laboring work doing paving stone restoration. The work was hard physical work of the type that Mr. Culver came to enjoy.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Hard physical work was a major component of almost all of Mr. Culver's employment endeavours before he was injured in the two motor vehicle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late teens or early twenties Mr. Culver again left Ontario and returned to the Chicago commune. He spent three months there working full time in the soup kitchen before travelling to the southern United States for about nine months where he worked on odd jobs to support his living and travels. Those jobs usually required heavy physical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about 2004 Mr. Culver again returned to Ontario, to in his words, establish "real roots" and to get a "real job". After about three months in Cambridge where his parents then lived Mr. Culver moved to Kelowna, British Columbia where he lived with his slightly older brother Aaron and his brother's fiancé. He found work as a restorative landscaper in the wake of the severe fires that had beset the area. That worked included work as a laborer on irrigation work, garden work, and brick work as well as on retaining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about a year in Kelowna Mr. Culver and a girlfriend moved to Kitchener, Ontario where he worked through the summer in a factory making hospital beds. He was laid off in the winter. After that he moved to Clearwater, British Columbia and obtained a job working on the "green chain" at a lumber mill in Barrier. Again, the work was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fall of 2006 when he was about 24, Mr. Culver and his partner who had then obtained a job as a waitress moved to the Lower Mainland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Over the next few years Mr. Culver lived in the Lower Mainland, and worked in a series of part time seasonal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Beginning in 2007 Mr. Culver sought to upgrade his education so that he could eventually develop a trade skill that would enable him to obtain a job that "paid a decent wage and was not seasonal".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His pursuit of that education continued from that time at Vancouver Community College for about seven years until the spring and summer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To put that time frame in the context of Mr. Culver's learning disabilities it is necessary to refer to Agreed Statement of Fact #9 which forms part of the evidentiary record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parties have agreed that on May 29, 2007 Dr. Larry Kryaniuk, a registered psychologist examined and interviewed Mr. Culver. Dr. Kryaniuk administered several tests in order to prepare a psycho-educational assessment and report addressed to the Adult Learning Development Association. On July 4, 2007 he delivered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recording the results of the tests he administered Dr. Kryaniuk stated under the heading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an intellectual perspective, Mr. Culver is probably capable of average educational and vocational achievement. However, his major barriers will be his limited academic skills, his relatively slow processing speed and his weak working memory. On the other hand, he appears to have come to the realization that an education is important to him and I would expect that he will show a good level of effort and motivation. He may become discouraged somewhat easily and there is a sense of underlying depression or low moods that may affect his energy levels and his ability to stay with tasks over the longer term. He may need some support and encouragement along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the heading "Recommendations" Dr. Kryaniuk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general recommendation would be that Mr. Culver try to work on his basic classroom skills to bring them up to a higher level. However, it may be that he will not get them to the point where he can easily work in a traditional classroom environment over the next while.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that, whatever program he is in, Mr. Culver will require accommodation for his reading disability, poor working memory and slow processing speed.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Culver will need to decide between pursuing his interests, which appear to be largely in the area of creativity and production, with his interests in an occupation, such as welding, that will lead to higher financial rewards but probably will offer him somewhat less job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Between 2007 when he started to upgrade his education at Vancouver Community College and when he completed the English 12 component of the "Basic Adult Education Program" in 2014 Mr. Culver received accommodations to enable him to complete the level of education in English that he was able to accomplish.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Those accommodations included: one-on-one instruction; the use of audio books; allowances for time to complete assignments; and, after 2013, significant assistance from his girlfriend Ms. Bradley after that relationship had gone from dating to the more serious committed relationship that has continued to evolve and still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Notwithstanding all of his efforts and assistance that allowed him to finally attain his Grade 12 English, he was unable to achieve the same success in math in which he "really struggled".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Official Transcripts from Vancouver Community College record the dates of Mr. Culver's attendance there, the courses he took and the results achieved. Those transcripts show that he was able to successfully compete Part 1 of Mathematics 10 in 2011 but that after that he concentrated only on English. Mr. Culver testified that he did so because he considered the ability to complete English most important to future job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Mr. Culver was working towards completing his academic schooling, (much of which was done at night) he was employed in many different jobs. Some work was part time and other work was full time but seasonal.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establishes that Mr. Culver worked for, amongst others, the following employers, in the capacities described between 2007 and the summer of 2014 when he completed his Grade 12 English studies at Vancouver Community College:</w:t>
      </w:r>
      <w:r>
        <w:rPr>
          <w:rFonts w:ascii="arial" w:eastAsia="arial" w:hAnsi="arial" w:cs="arial"/>
          <w:sz w:val="20"/>
          <w:lang w:val="en-US" w:eastAsia="en-US" w:bidi="ar-SA"/>
        </w:rPr>
        <w:cr/>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J.J. Bean: in its warehouse mixing coffee beans, roasting and packaging coffee and making deliveries;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Subeez restaurant: regularly working intermittently between other jobs in a "dish pit" and as a "bar back". He tried serving but found it was too difficult to get food orders down because that required reading and writing skills he did not have;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Perkins Construction: in the lead up to the 2010 Olympics in Vancouver; doing seasonal labouring work with shovels and by hand; building retaining walls; installing irrigation systems; sodding turf; and, ripping out clay piping from old buildings;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Precision Drilling: an oil rig contractor in Alberta; where he worked for two seasons in 2011 and 2012 as a floor hand, roughneck; and, motor hand, all of which jobs had intense physical demands, that he left because he wanted year round work;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Ace Window Cleaners (Ace): a residential and commercial window cleaning company in Vancouver; where he worked seasonally in 2013 and 2014 doing window cleaning on multi-storey high-rise commercial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addition to remuneration for work during that period the evidence establishes that Mr. Culver received some Employment Insurance benefits in 2013 and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September of 2014, after completing his English 12 course Mr. Culver obtained employment with Cameron Canada Corporation (Cameron), an oil field supply company in Grande Prairie, Alberta. That employment is at the center of Mr. Culver's claims for past and future 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Culver obtained employment with Cameron after being advised by a friend that Cameron was hiring employees to work in its oil field service operations in northern Alberta and British Columbia operating out of its facilities in Grande Prairie.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learning of that opportunity Mr. Culver obtained contact information for Ms. Jessica McHaffie, a human resources manger at Cameron. After a telephone interview and after passing a physical test he was hired to work as a field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began work at Cameron on September 8, 2014 in Grande Prairie.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establishes that it was very physical work that Mr. Culver not only enjoyed but was good at. The work paid more than he had ever earned and, somewhat surprisingly, unlike other work in the "oil patch" Cameron's work was not seasonal.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will later discuss in more detail: the nature of the work; Mr. Culver's performance; his earnings from the time he worked at Cameron until the first motor vehicle collision on January 1, 2015; his future prospects at Cameron; and, potential limitations on those prospects when discussing Mr. Culver's claims for loss of past and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the purposes of this chronology I will, however, now record that after the first motor vehicle collision, and after an unsuccessful attempt to return to work at Cameron on March 12, 2015 Mr. Culver was unable to do so because of the injuries he suffered in that collision. He has never been able to return to that work or to work like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first motor vehicle collision in Victoria on January 1, 2015 Mr. Culver and Ms. Bradley were returning from a day of "off-roading" with friends and were going to Ms. Bradley's parent's home. Mr. Culver was dozing in the front passenger seat in a slightly reclined position with his seatbelt on. He was tired from his work the day before, travel from Grande Prairie, and, the day's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Before Ms. Bradley's vehicle struck the former defendant Mr. Skrypnyk's vehicle in an intersection Mr. Culver heard the wheels of her truck "lock up" a few seconds before impact and felt the truck slide sideways.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Upon impact Mr. Culver's right shoulder hit the side of the car and his body slid downwards and sideways but not all the way out of his seat. Mr. Culver testified that his adrenaline was high and he was very concerned for Ms. Bradley who was crying "pretty hard". Police and fire personnel attended the scene and a police officer drove them to Ms. Bradley's parent's home. Ms. Bradley's vehicle was towed to her brother's home for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Culver and Ms. Bradley stayed in Victoria for two days after the collision. Mr. Bradley was uncomfortable and sore with lower back pain and shooting pains into his legs as well as stiffness in his neck on the right side and in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They left Victoria on the third day in a rental car. Mr. Culver drove and testified that the trip was very hard. He suffered pain in his lower back and shooting pain down his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Culver testified that for the next few days he stayed at home hoping that the pain would go away so he could go back to work at Cameron in Grande Prairie on January 6, 2015 as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the pain did not improve, at the urging of Ms. Bradley, Mr. Culver visited the Stein Medical Clinic. Since that first visit he has been in the care of Dr. Burlin who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Burlin advised Mr. Culver to take time off work and he did so. He sent a note to Cameron advising that he would be unable to return on the scheduled date due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establishes that over the next two months Mr. Culver attended at Dr. Burlin's office six times. He also attended 13 physiotherapy sessions as recommended by Dr. Burlin. In addition he attended 9 massage therapy sessions also as recommended by Dr. Burlin.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During that time Mr. Culver continued to suffer from pain primarily in his right shoulder and lower back with the lower back pain radiating down to his legs. The physiotherapy and massage sessions were directed to attempting to alleviate the effect of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Mr. Culver attended upon him on March 6, 2015 Dr. Burlin testified that Mr. Culver was anxious to get back to work. Dr. Burlin testified that he did not believe that Mr. Culver was yet fit to return but to enable him to return advised that he could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March 12, 2015 Mr. Culver attempted to work for Cameron in Grande Prairie. Even though he was somewhat sheltered that day from the type of heavy labour intensive work that the job required and that he had done before Mr. Culver was unable to work the next day due to excruciating pain in his low back. He had difficulty getting out of bed. He telephoned his employer and told them he could not work that day. He left Grande Prairie shortly thereafter when his pain did not improve and returned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did not again return to work at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Ms. Bradley's assistance Mr. Culver wrote a letter to Cameron advising that he was unable to work due to his injuries. He also stated that "Upon recovery I would like to be considered for re-hire and enjoyed being a part of the Cameron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My consideration of the totality of the evidence including that of Mr. Culver and my assessment of Mr. Culver's credibility leads me to conclude that his employment by Cameron was for him a dream job that offered him the opportunity to succeed in full time non-seasonal employment for which he had persevered for so many years of academic struggle.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no doubt that if Mr. Culver had, at any time after March 12, 2015, sufficiently recovered from his injuries to do the type of work he had been doing at Cameron he would have sought to be re-hired. The evidence of Ms. Jessica McHaffie who was the human resources manager at Cameron who initially hired Mr. Culver also satisfies me that had Mr. Culver again been physically able to do the required work there is a very strong likelihood that he would have ben re-hired.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loss of his employment with Cameron and the pain from his injuries with which he has now lived for more than four years have had a devastating impact not only upon Mr. Culver's income earning ability but also upon his enjoyment of life and the impact of that pain upon not only his emotional mental well being but also his social relationships, including his relationship with Ms. Bradley.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extensive medical evidence adduced by Mr. Culvert in this case supports and is entirely consistent with Mr. Culver's subjective assessment of his physical and mental health. It is also consistent with the evidence of Ms. Bradley who, like Mr. Culver was a straightforward and entirely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returning to Vancouver from Alberta in March of 2015 Mr. Culver continued to suffer from pain in his lower back and shooting pain in his legs that would travel as far as his 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Notwithstanding those continuing back and leg pain issues Mr. Culver returned to work at Ace doing window cleaning in late March of 2015 on a part time basis. He did so because he needed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Unlike his work before the first collision Mr. Culver only worked on window cleaning ground work at Ace rather than the high level suspended "Bosun Chair" work on high rises that he had done before leaving Ace the year before to go to work for Cameron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That ground work also required the use of ladders and "tucker poles" but he used shorter ladders than he had used previously because he could not now handle the weight of the longer ladders.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his employer at Ace was accommodating there was pressure upon Mr. Culver to start work on the higher buildings using the Bosun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By the end of the season in 2015 Mr. Culver started doing so. However, the work was not only far more difficult than it had been before he was injured but his productivity was much less. He bought a lumbar support for his back to help maintain his posture and balance well enough to do the work. He could, however, only work smaller spreads - the distance he could stretch while cleaning - and he worked much more slowly than he had before 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By the end of the season in 2015 while Mr. Culver's back pain was about the same the shooting pain into his legs began retracting somewhat to the knee rather than going all the way to his 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After the 2015 window cleaning season until he returned to Ace for work in March of 2016 Mr. Culver continued with physiotherapy treatment and Pilates treatment and continued to see Dr. Burlin. His back pain felt better with the time off work and the cessation of twisting movements at work but still persisted although at a reduced level. He also continued to have associated buttock pain, but his shoulder was, well on the 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March of 2016 Mr. Culver again returned to work at Ace. His employer now wanted him to work full time and exclusively in the Bosun Chair. Mr. Culver testified that when he did so the pain came back strongly and the work got more difficult again. He described particular problems with, among other things: movement including certain body mechanics; positioning; pushing off with his toes; "suction cupping" on overhangs; and, reaching in and around windows and ledges.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the same time Mr. Culver was finding driving difficult and was having intimacy issues with Ms. Bradley due to his low back pain. He continued to see his physiotherapist for physiotherapy and Pilates.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March 28, 2016 while working on a building on Hastings Street and being "pretty much done for the day", with 2 or 3 drops left, and while doing the same movement he had been doing all day he "went to pull himself in". He testified that he "felt a twinge...something weird". Although it did not stop him from finishing the work that day he felt "strange but nothing too crazy".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By the evening he was, however, feeling the same way he had felt immediately after the first collision with the same radiating pain. He called an Emergency line and was told to lie on his back with his feet up and to go to an Emergency ward if it got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following morning Mr. Culver's symptoms were worse and he was sore but he still went to work. He unloaded the truck and took his window washing gear up to the roof and suddenly felt "pasty white". He began vomiting and had a "sort of panic". He walked to the clinic where Dr. Burlin practised and was told to go to the Emergency ward at St. Paul's Hospital.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Culver took time off work after what he calls this "flare up" of his symptoms. His employer was understanding and were willing to wait for his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do not suggest that this flare up was an intervening cause that broke any chain of causation arising from the injuries suffered by Mr. Culver in the first collision and I find that the totality of the evidence establishes that the flare up manifested only as a consequence of the low back and other injuries that Mr. Culver suffered in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During the months that followed the flare-up Mr. Culver was unable to return to work. He testified that for the first week he was for the most part unable to do anything except lie on the floor even while trying to sleep at night. At times Ms. Bradley would sleep beside him on the floor and they eventually got a hard foam mattress for their bed. During that time Mr. Culver also had difficulty cleaning himself and had to have Ms. Bradley help him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Culver continued to experience back pain, again shooting down his legs to his heels with the same low back and buttocks pain he had suffered from earlier. He testified that then, as well as now, his back pain is always there but on an up and down scale. He said that at times he feels "80% good" and on some days "20%" and with movement, bending and twisting as well as during intimacy the pain would be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After being off work from March 30, 2016, Mr. Culver said that just before the second collision on June 4, 2016 the pain was again beginning to retract from his heels back to the lower part of his thighs and into his buttocks.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During that period that he was off work in the spring of 2016 before the second collision Mr. Culver continued to attend physiotherapy treatments on a weekly basis. He also saw Dr. Burlin four times who prescribed medication to assist in the alleviation of pain. On Dr. Burlin's advice Mr. Culver also twice attended a "Change Pain Clinic" before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June 4, 2016 while he was driving near his home Mr. Culver's vehicle was struck from behind by the defendant Huang's vehicle at an intersection. Although it was not a high speed collision Mr. Culver testified that the impact felt like a ram or a shove. He also testified that before the collision he saw the defendant's vehicle coming in his rear view mirror and tensed up. He stated that following the impact he felt a sharp pain in his back and was not comfortable getting out of the car. He immediately took some of the pain medication that he always carried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weeks following the second collision Mr. Culver testified that he again had pain in his back and buttocks and pain radiating down to the back of his knees. He remained off work until near the end of the summer but then resumed working for Ace two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Before returning to work Mr. Culver saw Dr. Burlin on at least two occasions and continued his weekly physiotherapy treatments. He continued with sessions at the Change Pain Clinic roughly every two weeks before returning to work and also until the end of September of 2016 after returning to work. Thereafter Mr. Culver attended the Clinic less frequently with about one visit every two months for the next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the Change Pain Clinic Mr. Culver first tried trigger point injections and then numbing injections until eventually receiving cortisone injections. He testified that the injections brought varying degrees of temporary pain relief but never permanent relief. His last recorded visit was in February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Mr. Culver returned to work at Ace for two days a week at the end of the summer of 2016 he again performed only ground work. He did not do any high level Bosun chair work and no ladder work with a pressure washer. His employer did not pressure him to do more than he could do and when the season ended Mr. Culver obtained Employment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Before retuning to work with Ace in the spring of 2017 Mr. Culver moved apartments with the help of friends. He also sold a motorcycle that he used to ride but could no longer enjoy because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he again started working with Ace in the spring of 2017 he told his employer that he was not capable of Bosun chair work because he was afraid of the risk of going "back to square one". Although his employer was understanding he still wanted Mr. Culver to do work in the Bosun chair. Mr. Culver then left that employment and found work on June 12, 2017 with another window washing company where he could do only ground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soon left that employment due to differences about payment for his work. He was then employed by a third window washing company where the work was more physically demanding than at the second company and was very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Culver next again reached out to Ace to see if he could come back to work. He told his employer what he could and could not do. His employer agreed that Mr. Culver could return to work and would not have to do Bosun chair work or work with 40 foot ladders and would take on a role in training new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Culver continued in that new role during his seasonal work with Ace in 2017 as well as through the season in 2018 that ended before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testified that the work is not without its physical difficulty. He always has someone with him who can move the heavier equipment that must be used. He has also adapted the way in which he works to avoid twisting. He usually now works five days per week at a rate of $27 per hour but at times works four days per week because of "flare 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Video surveillance evidence at trial that was obtained by the defendants but adduced by Mr. Culver as part of his case shows the extent to which he is able to work and also shows instances of Mr. Culver seeking relief for his back by squatting and stretching after some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Culver also testified that his present symptoms after work are similar to his symptoms after the first collision and that the pain has never gone away. He must take an extended period after work to lay on his back with his feet up. He still takes anti-inflammatories as prescribed and has started using "high CBD low THC" marihuana at night to help him sleep. He is also still prescribed pain medication which he keeps with him but he is trying to take fewer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Since his return to work at Ace in 2017 until the end of 2018 and during his work with the other two window washing companies for a short time in the summer of 2017 Mr. Culver has continued with physiotherapy treatment as well as massage treatment and has continued to receive some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testified that he has never felt well enough to return to the type of work he did at Cameron before the injury not only because of pain but because of the physical demands of that work that he can no longer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Agreed statements of fact filed in this case establish that in 2017 and 2018 Mr. Culver attended for medical consultation and treatments as follows:</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Dr. Burlin's office: 10 attendances;</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Gastown Massage Therapy: 2 attendances;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Change Pain Clinic: 3 attendances;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Back in Motion for physiotherapy and kinesiology treatments: 40 attendances;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Back in Motion for massage therapy: 60 attendances;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Access Community Therapists for occupational therapy: 7 attendances.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addition to those attendances Mr. Culver attended upon a psychologist, Dr. Dan Bilsker, on 12 occasions between June 12 and November 27, 2018 for counselling related to the psychological impact of his injuries upon his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defendants have agreed that to the extent that all of those attendances resulted in Mr. Culver incurring out of pocket expenses for his treatments and therapy as well as expenditures for all of the medications that were prescribed for his pain those expenses are recoverable as special damages arising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total amount of those agreed special expenses is $17,187.78.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will discuss Mr. Culver's ongoing need for future care and the costs associated with that care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Before turning to my determination of the appropriate award of damages to which Mr. Culver is entitled under the specific heads of damage claimed I will first address the evidence related to Mr. Culver's need for the psychological assistance of Dr. Bilsker.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evidence establishes that after the second collision Mr. Culver felt that the roller coaster like "ups and downs" of his lack of progress were getting to him. He began to feel depressed and described one particular episode while on a sailboat with Ms. Bradley when he should have been aware of the beauty all around him but felt like he had "hit the bottom of the well". He had thoughts of harming himself. Ms. Bradley also testified about her fears for Mr. Culver and especially those fears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Culver testified that since the collisions he often had to keep re-evaluating himself as a person. He felt lost and that he had stopped doing "all of the things that were me". Those things included training, boxing and rock climbing none of which he could no longer do and enjoy.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testified that he got through the worst of that with the help of Dr. Bilsker and antidepressant medication prescribed by Dr. Burlin. He described at times feeling depressed and that he had no value. He remains concerned that his physical condition will not allow him to be a breadwinner if he and Ms. Bradly have children and that she will have familial responsibility in which he cannot share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Notwithstanding those concerns my impression of both Mr. Culver and Ms. Bradley is that they will work together to attempt to overcome the lasting effects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satisfied that notwithstanding the vicissitudes of life to which Mr. Culver has been subjected he remains a resilient, stoical and mostly optimistic individual who will deal with continuing pain and suffering with the same perseverant outlook with which he has dealt with obstacles for most of his life. That will, however, require not only his own fortitude but the continuing support of Ms. Bradley, his parents and his siblings together with professional assistance when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Before discussing the issues of causation that the defendants have raised and the various heads of damage upon which the appropriate award for Mr. Culver's losses must be assessed I will first address some of the medical evidence adduced by Mr. Culver and the defendants that bears upon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AND OTHER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Culver relied upon medical and other expert evidence from many sources in support of his claims. Those included medical expert reports from Dr. Hugh Anton, a physiatrist; Dr. Stephen Anderson, a psychiatrist; and Dr. Robert Burlin, Mr. Culver's primary treating physician. In addition, Mr. Culver adduced the evidence of Mr. Jamie Snow, a physiotherapist who treated Mr. Culver for his injuries in 2015 and 2016 as well as the evidence of Mr. Tariq Dossa, a massage therapist who treated Mr. Culver from 2017 and is still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Culver also adduced the expert opinions of Mr. Min Kyi, an occupational therapist and functional capacity evaluator; Mr. Robert Corcoran, an occupational therapist; Mr. John Lawless, a vocational consultant; and Mr. Darren Benning, an economist.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will discuss that evidence to the extent necessary when considering Mr. Culver's claims under the heads of damages associated to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adduced the expert medical evidence of Dr. Paul Marks, an orthopaedic surgeon and Dr. Douglas Connell, a radiologist.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 will not summarize all of the medical reports or opinions because it is not necessary to do so. I will, however, now address some of that medical evidence to the extent that I find it useful in determining issues related to causation and the appropriate awards for Mr. Culver's losses that arise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Anton provided a total of four reports dated March 28, 2017; April 3, 2018; May 1, 2018; and October 11, 2018 that were admitted into evidence. In his first report Dr. Anton opined that Mr. Culver had suffered chronic and permanent mechanical low back pain due to the two collisions with referred pain into the gluteus and legs due to the mechanical back pain. He found objective signs that correlated with Mr. Culver's subjective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his second report Dr. Anton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first saw Mr. Culver, I expressed the opinion it was too early to provide a final prognosis, but the duration of his pain suggested a guarded prognosis for complete resolution of pain in future. He has since then had further treatment including active rehabilitation and psychological intervention. He continues to have pain and depression despite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in my earlier report, there is a complicated relationship between depression and chronic pain. It is possible improvement in Mr. Culver's depression could lead to improvement in his pain. I would defer to my colleagues in psychiatry regarding the prognosis for improvement in his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information available to me at this time, it is my opinion that even with further improvement Mr. Culver will not become pain free. Instead, he will probably have some degree of fluctuating pain that may be exacerbated by specific activities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his third report Dr. Anton reviewed opinions provided by Dr. Anderson and by Mr. Kyi both of which were entered into evidence. He then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Mr. Kyi's report, he described the results of a functional (work) capacity evaluation performed on April 10, 2018. Based on the results of that assessment, he expressed the opinion that Mr. Culver was not physically suited to his former work as an oil field worker/labourer. He also expressed the opinion that Mr. Culver could perform significant work as a window cleaner, but was not physically suited to the full spectrum of work tasks associated with that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Anderson's report described an independent psychiatric assessment of Mr. Culver he performed on April 18, 2018. He expressed the opinion that physical and emotional factors were likely interacting to create Mr. Culver's chronic pain condition. He also expressed the opinion that Mr. Culver had a DSM-V diagnosis of persistent somatic symptom disorder with predominant pain. He further expressed the opinion that Mr. Culver had a major depressive disorder of mild to moderate severity and a generalized anxiety disorder of mild to moderate severity.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findings and opinion of Mr. Kyi are consistent with my own assessment of Mr. Culver. I am concerned that if Mr. Culver is no longer able to continue in his current work then it will be difficult for him to identify alternative work. A vocational evaluation would likely be helpful to identify the types of work that might be possible for Mr. Culver in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Anderson's opinions regarding the contribution of emotional factors to Mr. Culver's chronic pain are consistent with my own. I defer to Dr. Anderson's expertise as a psychiatrist regarding Mr. Culver's specific psychiatric diagnoses and treatment recommendations for those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fourth report was a rebuttal report concerning the report of Dr. Connell that I will later discuss.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Anderson the psychiatrist saw Mr. Culver on April 18, 2018 and provided an expert opinion dated April 20, 2018. Among other things, in that opinion Dr. Anderson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Culver has seen a number of physical medicine specialists to date since the first MVA occurred. Mr. Culver's most significant ongoing physical symptoms following the 2015 MVA have been low back pain, sciatic pain (right greater than left), right shoulder pain, and reduced energy. Mr. Culver has been assessed and treated at the CHANGEpain Clinic by Dr. Sun, he has seen a number of allied health professionals (e.g. physiotherapy, massage therapy and kinesiology) and he has had assessments from physiatrist, Dr. Anton, and interventional pain physician, Dr. Helper.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Culver's present physical symptoms began after the January 1, 2015 MVA occurred. His physical symptoms were exacerbated by the work-related accident which occurred in March 2016 and further exacerbated as a result of the June 4, 2016 MVA. I will defer opinion to physical medicine specialists to determine the extent to which Mr. Culver's present physical symptoms are directly due to the January 1, 2015 MVA versus the other two accidents. In Mr. Culver's case, however, physical and emotional factors are likely interacting to create his pain condition. Mr. Culver scored at the 80th percentile for chronic pain clinic patients on the pain catastrophizing scale (PCS score 32/52). Mr. Culver's life largely revolves around his pain. Mr. Culver worries about doing activities which may exacerbate his pain (e.g. kinesiophobia).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Culver's pain is exacerbated by working at his present job and it is unclear how much longer he will be able to continue working on the ground crew as a window washer. The new term for chronic pain disorder, as given in the 'Diagnostic and Statistical Manual of the American Psychiatric Association' (DSM-5) is a persistent somatic symptom disorder with predominant pain. Patients with this disorder have physical symptoms that are distressing and/ or result in significant disruption of daily life. Patients can have disproportionate and persistent thoughts about the seriousness of their symptoms, a persistently high level of anxiety about them and can spend excessive time/energy devoted to their symptoms/health concerns. Mr. Culver has pushed himself to continue working but his pain is frequently on his mind. He worries about his pain worsening in future and he is frequently restless, irritable and on 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Patients with chronic pain are at high risk of developing anxiety and depressive illnesses. Mr. Culver became increasingly depressed over time following the MVA's. Mr. Culver reached his lowest point emotionally in May 2017. He has been prescribed antidepressant medication since that time, Pristiq and Wellbutrin. Mr. Culver continues to be prescribed these two medications in addition to analgesic medications, Flexeril and Pregabalin. Mr. Culver has not noticed a significant improvement in his mood with his present medications but he does feel that he has more "pep" in his step.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Culver continues to score in the moderate range on a depression inventory (PHQ-9 score 13/27). Mr. Culver's score on "the PHQ-9 in June 2016 was 19/27. His PHQ score reached its lowest point in September 2017 (9/27). Mr. Culver's ongoing "depressive symptoms" overlap with his symptoms due to anxiety and pain and include depressed mood (ranging from 2-7/10), fatigue, cognitive difficulties, decreased libido, social withdrawal, weight gain, insomnia, irritability, low self-esteem, guilt, reduced interest and pleasure in activities, hopelessness and suicidal thinking...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Anderson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Culver's preferred psychiatric diagnosis, in addition to a persistent somatic symptom disorder with predominant pain, is a major depressive disorder (MDD) of mild to moderate severity and generalized anxiety disorder (GAD) of mild to moderate severity. The most appropriate treatment for Mr. Culver's anxiety and depressive symptoms would be a combination of pharmacotherapy and psychotherapy. Mr. Culver will likely require long-term treatment with antidepressant medication. A further course of psychotherapy, preferably cognitive behavioral therapy (CBD) with an experienced psychologist, such as Dr. Bilsker, would be recommended.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Culver would likely also benefit from being referred to a comprehensive multidisciplinary pain clinic where both physical and emotional factors can be addressed in one setting by experienced therapists. Both anxiety and depression increase pain perception and negatively affect one's ability to cope with pain. Appropriate multidisciplinary pain clinics in the Lower Mainland include the Lifemark Pain Management Program and the Orion Health Rehabilitation and Assessment Centre.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Culver has had increased concentration and memory difficulties since the MVA's occurred. Mr. Culver has a learning disorder/dyslexia. Since the MVA's occurred, Mr. Culver has experienced a further reduction of his cognitive functioning. His increased cognitive difficulties are likely due to a number of factors including pain, insomnia, fatigue, anxiety, and depression. There is no evidence that Mr. Culver had a head injury as a result of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addition Dr. Anderson also offered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Long-term prognosis for Mr. Zachary Culver, from a psychiatric point of view, is guarded. The longer psychiatric disorders last the less likely they are to fully remit with treatment. Prognosis is also poor for patients who have more than one psychiatric diagnosis. In Mr. Culver's case he has three psychiatric disorders: a persistent somatic symptom disorder with predominant pain, MDD and GAD. He was appropriately treated with a course of psychotherapy from Dr. Bilsker and with psychotropic medication, Pristiq and Wellbutrin. Despite the treatment that he has received to date Mr. Culver continues to have significant anxiety and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Burlin's clinical notes as well as his expert report dated June 4, 2018 were adduced in evidence and Dr. Burlin also testified. As Mr. Culver's primary treating physician he gave a thorough history of his treatment of Mr. Culver and his reasons for that treatment. He was a compelling witness who offered significant medical and practical insight into Mr. Culver's injuries, the course that they took and the toll of them upon Mr. Culver's physical, emotional and social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his report dated June 4, 2018, Dr. Burlin offered observations and opinions that I find to be specifically germane to the issues and consistent with the evidence of Mr. Culver and others whose evidence I accept and findings I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that report Dr. Burlin wrote:</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summarize, Mr. Culver was a front seat passenger, asleep with the seat reclined at the time of the initial MVA on 1-1-2015. He had no pre accident pain or physical limitations and indeed was performing very heavy manual labour in the oil and gas industry in northern Alberta just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in excellent physical condition and was very active in a number of recreational activities including rock climbing, hiking, snowboarding, skiing, kickboxing and martial arts.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he has dyslexia, he was consistently employed in physically demanding jobs since he was a teenager, and was actively engaged in very demanding recreational pursuits as noted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to the accident, he developed severe low back pain with right sided sciatica pain that completely prevented him from returning to the physically demanding oil field work. He attempted to go back to high rise window washing work that required him sitting while suspended in a bosun chair or on a fixed platform high above ground. Both these jobs entailed repetitive twisting and turning movements of the neck, shoulders, upper and lower back. He was unable to continue this type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enduring significant pain, especially in his right lower back, he had to restrict himself to window washing while on the ground. He had to give up all of his high output recreational activities, which contributed to considerable stress in his relationship with his common law partner Lisa, as these were mutually enjoyed endeavours they could no longer enjoy together.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attended many sessions of physiotherapy including IMS, massage therapy, and active rehabilitation kinesiology therapy with very slow improvement over 15 months. There was a marked exacerbation of low back pain and right sided sciatica pain in a work related injury on 29-3-2016 while suddenly leaning forward while suspended in a bosun chair, as well as a second MVA that occurred on 4-6-2016 while driving a vehicle that was rear 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referred to the Change Pain Clinic, where he was treated with trigger point injections and ultrasound guided medial branch blocks left L3,4,5, right L3,4,5, left sacroiliac joint and left sacroiliac ligament injections, right sacroiliac joint injections, and caudal epidural steroid injection. Dr. Sun suggested referral to St Paul's Hospital Interventional Pain Clinic (Dr. Alan Berkman) for radiofrequency neurotomy of bilateral sacro lateral branches, but Mr. Culver elected not to pursue this course of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a non smoker, and although he gained some weight initially with the decline in his vocational and recreational physical activity, he has been diligent with both exercising within his capabilities and maintaining a healthy diet which appears to be back close to his pre accident weight of 3.5 years ago.</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1-1-2015 MVA, I observed Mr. Culver to have a marked restriction in his lumbar range of motion, paralumbar muscle spasm, and restriction in straight leg raising testing, especially, on the right side, without noticeable loss of muscle strength, sensation, or deep tendon reflexes. With time, I observed an increasingly depressed and anxious mood, as he began to develop the features of a Chronic Pain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appears to develop unwittingly in some people whenever a deepening repetitive cycle such as this begins: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PAIN--------INSOMNIA--------DEPRESSED MOOD/ANXIETY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MORE PAIN--------MORE INSOMNIA--------MORE DEPRESSION/ANXIETY---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(repeat, repeat, repeat)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his first visit at Coal Harbour Clinic on 11-5-2017, Mr. Culver was clearly suffering from major depression and anxiety. He was having some passive suicidal ideation. He was started on the SNRI antidepressant Pristiq at 50 mg, later increased to 100 mg on 23/5/2018, with the addition of another class of antidepressant, Wellbutrin SR 100 mg (for augmenting antidepressant efficacy and to alleviate sexual dysfunction thought to be caused by the Pristiq).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referred for high intensity 1:1 Cognitive Behavioural Therapy (CBT) with Dr. Dan Bilsker, a PhD clinical psychologist. Although I have never received reports from Dr. Bilsker, I understand he received 8 sessions but am uncertain if he completed the full recommended course of at least 12 sessions.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5/2017, all therapies were focusing on pain reduction and mobility improvement (physiotherapy, massage therapy, active rehabilitation exercise therapy, injection therapies). Medications used were the muscle relaxant cyclobenzaprine (Flexeril) the synthetic opiate tramadol/ acetaminophen combination (Tramacet), the NSAID / PPI combination of naproxen and esomeprazole (Vimovo) and the centrally acting non opiate pain modulator pregabalin (Lyrica) as well as the synthetic cannabinoid nabilone (Cesamet). The latter, prescribed by Dr. Sun, was poorly tolerated at even at 1/2 tab at bedtime, as it made him feel "stoned" the next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23-5-2018, nearly 3.5 years after his initial MVA of 1-1-18, his physical and emotional state had plateaued. He appeared to be experiencing constant pain, as he remained standing through most of the visit, exhibiting some grimacing expressions while constantly undergoing small movements of extension, flexion, and side bending of his lower and middle back regions in an apparent attempt to alleviate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achieved a maximal dose of pregabalin, 150 mg bid and was still using Vimovo and cyclobenzaprine. I knew from his history that experimenting with cannabis in his teens and early twenties had caused episodes of anxiety (THC mediated side effect commonly experienced with initial dosing) and he rarely ever used recreational cannabis for that reason. Nabilone had also produced a similar unwanted side effect from Dr. Sun.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MVA associated soft tissue injuries have progressed into a Chronic Pain Syndrome (referred to by Dr. Anderson as a "persistent somatic symptom disorder with predominant pain", DSM V) and is associated with Major Depressive Disorder and Generalized Anxiety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Being close to 3.5 years post MVA, I agree with Dr. Anderson that his long term prognosis from a psychiatric viewpoint is poor.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Culver failed to respond as well as anticipated to the treatments he received through Change Pain, and that a re referral into an alternate and more comprehensive multidisciplinary pain treatment program, as suggested by Dr. Anderson, is warranted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publicly funded clinics, such as the St Paul's Hospital Pain Clinic, have wait lists that stretch into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such a comprehensive multidisciplinary pain program should commence sooner than later, as I suspect this will be his last opportunity to maximize his physical, emotional, psychological and vocational level of recovery from the MVA. At the young age of 36, such a program has the potential to produce a major positive impact on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Although they were not qualified to provide expert evidence the lay evidence of Mr. Dossa and Mr. Snow as well as their extensive clinical records were useful in establishing that Mr. Culver's subjective complaints about what areas to massage or in which area physiotherapeutic treatment was needed were objectively verifiable by these experienced treatment providers.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defendants adduced the expert report and testimony of Dr. Marks, an orthopaedic surgeon from Ontario. Due to difficulties arising from Dr. Marks' failure to provide the notes of his assessment of Mr. Culver in a timely way as well as issues related to the extent that he required Mr. Culver to provide written responses to a questionnaire when it had been agreed between counsel for the parties that Mr. Culver would not be required to do so I limited Dr. Marks' opinion testimony to his physical testing and findings as well as his consideration of other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Marks testified that Mr. Culver did not suffer any musculoskeletal injuries in either collision and suffers no impairment or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Dr. Marks' evidence to be of little assistance. Although he is qualified to provide opinion evidence I cannot reconcile his opinions or conclusions with those of the medical experts called on behalf of Mr. Culver that I accept. That is especially so when his evidence is contrasted to that of Dr. Anton and even more so when contrasted to that of Dr. Burlin who had the opportunity to see, interact with, physically examine and treat Mr. Culver from the time of the first collision until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Marks was also at times argumentative during cross-examination and at other times avoided answering questions that were properly put to him in respect of the conclusions of those doctors with whose opinions he did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Marks' opinion cannot be reconciled with what I have found to be the debilitating effects of Mr. Culver's injuries on his life and his ability to work. His opinion also cannot be reconciled with the extensive medical intervention that has been necessary because of the injuries suffered by Mr. Culver as a result of the collisions and in respect of which out of pocket costs (including for extensive massage, physiotherapy and medication) totalling in excess of $17,000 have been accepted by the defendants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defendants also adduced the evidence of Dr. Connell a radiologist with a sub-specialty in Musculoskeletal Radiology who reported upon an MRI of Mr. Culver's lumbar spine from November 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Connell did not see Mr. Culver and did not review an earlier April 2015 MRI of Mr. Culver's spine. Although he was provided with Mr. Culver's medical records he testified that "if" he reviewed them he only did so in a cursory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report Dr. Connell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individual does have mild degenerative disc- disease with a broad based disc protrusion at the 1, 5-SI level. There is no narrowing of the spinal canal and no narrowing of the neural foramina. There are no features present which would explain radiation of pain to the legs.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your question ''Would the findings which are present have been caused by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 degeneration is common at all ages. A disc-protrusion related to a single traumatic event is a rare event with only several case report[s] having been published in the medical literature. At this individual's age in the asymptomatic population 31% of individual will demonstrate a disc protrusion and greater than 50% disc degeneration.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mild degenerative change is present involving the L4-5 facet joints. No traumatic bony injuries are present. As noted, the disc changes are not out of keeping with those which may be seen in the general population.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your question "Would the findings present on the MR evaluation explain this individual's radicular pain or his inability to function at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noted in my above report, no narrowing of the spinal canal, nor of the exiting neural foramina is noted. There are no features which would explain nerve root irritation with radiation to the legs.?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findings in this individual are not out of keeping with those which are seen in the population in general, there are no specific findings present in the imaging studies which would explain this individual's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cross-examination Dr. Connell acknowledged that with musculoskeletal injuries MRI imaging must be correlated with physical findings as well as a patient's history to properly understand the patient's condition. He also agreed that in his role as a musculoskeletal radiologist in reviewing only an MRI image he is unable to opine on impairments, limitations or restrictions in a patient's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his fourth report dated October 11, 2018, Dr. Anton reviewed Dr. Connell's report concerning the MRI. In doing so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report, Dr. Connell expressed the opinion that there were no features on MRI which would explain nerve root irritation with radiation to the legs. When I evaluated Mr. Culver, he reported leg symptoms suggestive of a radiculopathy (irritation of a nerve root) but there were no findings on examination to confirm that. The absence of signs of nerve root irritation on examination at the time of my assessments does not rule out the possibility that Mr. Culver previously had nerve root irritation which had resolved by the time I saw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emphasize that there is an imprecise correlation between imaging findings of the low back and symptoms. Some patients may have apparently significant changes with no significant symptoms whereas others may have minimal findings and yet have significant symptoms. Interpretation of imaging studies in clinical practice therefore depends on a patient's clinical 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last saw Mr. Culver, he reported pain radiating down the legs, but not below the knee, a finding most often due to referred pain from the low back rather than nerve root, irritation. The lack of findings that would explain nerve root irritation on MRI therefore does not affect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accept Dr. Anton's opinion. I find that all of Mr. Culver's back injuries and the manifestation of them in his buttocks and lower extremities were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most cases the test for causation in tort claims is the "but for" test. Simply put, the question to be answered is: has the plaintiff proven on a balance of probabilities that he or she would not have suffered the losses suffered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injuries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with scientific precision.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Causation as the source of a loss is not, however, to be confused with the rules of damage assessment in tort. As stated by the Supreme Court of Canada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this case the defendants do not submit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materially contribute to the losses suffered by Mr. Culver. Their submission is that Mr. Culver's "original position" was such that his present injured positon cannot be wholly attributed to the fault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support of that positon the defendants submit that pre-existing conditions that should be considered in determining the quantum of Mr. Culver's damages include:</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pre-existing learning disability that would have effected his future income earning ability with or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pre-existing degenerative disc disease that, as part of the natural aging process and his work history, would limit his vocational options notwithstanding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pre-existing episodes of depression that created an increased risk of developing a depression and General Anxiety disorder independent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reason of his "past frustration associated with his inability to read, write and do math which has not been altered by the Accidents";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risk of physical conditions at work given his history of "back pain with heavy labour, wear and tear and the wear and tear to his body when engaging in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defendants submit that those pre-existing conditions should result in a 10 to 20 percent reduction of Mr. Culver's non-pecuniary damages; damages for his loss of past and future earning capacity; and, the damages awarded for the cost of his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34 and 35 Major J. discussed the "Thin Skull" and "Crumbling Skull" rules.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74 D.L.R.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169 C.L.R. 638;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apprehend the defendants' submission to be based upon principles applicable in those situations categorized as "crumbling skull"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is no question that Mr. Culver suffers form a learning disability that has had the effect of channelling his employment efforts into work requiring physical strength and dexterity.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is also evidence from Dr. Connell that a 2016 MRI of Mr. Culver's spine shows some mild disc degeneration. There is also some evidence in Dr. Anton's report that Mr. Culver had suffered occasional episodes of back pain associated with physical work before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Anderson reported that Mr. Culver had depressive symptoms in late adolescence when three close friends died. He was prescribed anti-depressant medication for a short period of time and had counselling with church elders. Dr. Anderson also reported other periods in the past when Mr. Culver had "mild depressive symptoms". Dr. Anderson agreed on cross-examination that Mr. Culver was always at risk of developing a psychiatric condition because of his pre-existing depressive episodes.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Although there is some evidence to support all of the defendants' assertions of pre-existing conditions I am not satisfied that the evidence related to any such condition taken either singularly or in combination establishes a "measurable risk that the pre-existing conditions would have detrimentally affected Mr. Culver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Culver's pre-existing learning disability has required that he not only take all possible remedial action to overcome it but has required that he focus on physical work. In my view, the fact that his injuries have now made physical work of the type he was doing at Cameron less available to him increases rather than decreases the liability of the defendants for his injuries. His situation is in my view, best assessed as a "thin skull" rather than a "crumbling skull" one from the perspective of his learning disability.</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Dr. Connell identified some mild disc degeneration in his review of the MRI of Mr. Culver's spine he did not provide any evidence that there was a measurable risk that the degeneration identified would have affected Mr. Culver's life and functioning had it not been for the injuries to his low back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Dr. Anton reported that Mr. Culver had suffered occasional episodes of back pain associated with physical work before the first collision he also stated Mr. Culver "did not have any significant back problems that would predispose him to problems he had after the accidents".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Dr. Anderson agreed that Mr. Culver's prior history of depression put him at risk of developing a psychiatric condition he did not identify that as a material risk and more specifically did not relate that risk to his present psychiatric diagnosis. Even more significantly Dr. Anderson attributes Mr. Culver's present condition to the correlation between anxiety and depression with chronic pain. The defendants acknowledge that Mr. Culver suffers from chronic pain and there is no evidence to suggest that he did so before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 am accordingly satisfied that the evidence does not support a finding that Mr. Culver's damages arising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reduced because of any pre-existing physical, mental or emotional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 next turn to my assessment of the appropriate damage award which will compensate Mr. Culver monetarily to the extent possible for the injuries he has suffered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Non-Pecuniary Damages for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Non-pecuniary damages are intended to, insofar as any monetary award can, compensate an injured person for their pain and suffering and loss of enjoyment of life caused by the fault of a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set out a useful, non-exhaustive list of factors that offer guidance as to what may influence an award of non-pecuniary damages. The list includes the:</w:t>
      </w:r>
      <w:r>
        <w:rPr>
          <w:rFonts w:ascii="arial" w:eastAsia="arial" w:hAnsi="arial" w:cs="arial"/>
          <w:sz w:val="20"/>
          <w:lang w:val="en-US" w:eastAsia="en-US" w:bidi="ar-SA"/>
        </w:rPr>
        <w:cr/>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Kirkpatrick J.A.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43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With those considerations in mind I will now assess the compensation to which I consider Mr. Culver is entitled for his pain, suffering, and loss of enjoyment of life, for the injuries he suffered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Before the first collision Mr. Culver was a physically active young man who enjoyed life to the fullest extent possible. He had overcome educational difficulties through hard work and perseverance but his life largely revolved around his love of hard physical work, other physical activity, and the outdoors.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 enjoyed: hiking; rock climbing; martial arts; riding a motorcycle; and, 4 x 4 exploring with friends and with Ms. Bradley.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 went on long difficult hikes in order to avail himself of rock climbing opportunities. He enjoyed camping in out of the way hard to reach places. He had a love of music and people and was socially active and popular. He trained hard in the gym and was able to lift heavy weights which allowed him to obtain and perform the intensely physical work required of him at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four years following the first collision Mr. Culver has endured chronic pain in his back and legs that has precluded him from working without pain and he can no longer do physical work as heavy or demanding as that he once did or enjoy strenuous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He cannot now climb rocks and his hiking is limited to easy trails. He can no longer train as he did and cannot enjoy martial 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 is far less socially active and his relationship with Ms. Bradley has suffered. His mental condition is fragile and he has great difficulty with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To be able to work he has to rest long hours after work to obtain relief from his pain. He must also take medication for his pain in order to work and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Culver's prospects for a full recovery and a life free from pain are slight.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Culver is still a very young man with a long life in front of him. That is a significant factor in evaluating the appropriate award for his pain and suffering. He is also a stoical individual who has worked hard to overcome obstacles placed in the way of his recovery. He has always worked to the extent that he can given his educational shortcomings from which he has compensated by hard physical work at which he has excelled.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Culver has now lost very much of the enjoyment, personal satisfaction and feelings of self-worth and self-confidence that such hard work gave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He is not entitled to less compensation because he has worked so hard to maintain employment after the collision. That is especially so given the impact that his injuries have had on his ability to enjoy life because so much time and effort is now required daily to allow him to recover from the physical effects of even the less physically demanding work that he is now 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Culver's counsel submitted that an award of from $150,000 to $175,000 would appropriately compensate Mr. Culver for his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making that submission Mr. Kendall relied upon the following decisions: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Murphy v. Hofer</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2018 BCSC 869</w:t>
        </w:r>
      </w:hyperlink>
      <w:r>
        <w:rPr>
          <w:rFonts w:ascii="arial" w:eastAsia="arial" w:hAnsi="arial" w:cs="arial"/>
          <w:color w:val="000000"/>
          <w:sz w:val="20"/>
          <w:lang w:val="en-US" w:eastAsia="en-US" w:bidi="ar-SA"/>
        </w:rPr>
        <w:t xml:space="preserve"> in which the plaintiff who was 39 years old at the time of the collision and who worked as a conveyor belt technician suffered shoulder, neck and back injuries. Mr. Murphy had shoulder surgery that left him with some relatively minor residual pain five years post accident but his headaches and neck pain remained much more severe. His dexterity and lifting capacity had improved since the accident but his strength and endurance remained far below what they were pre-accident. Mr. Justice Sewell found that although Mr. Murphy continued to live independently and care for his daughter his life was profoundly changed by his injuries. His circle of friends had been diminished and he could no longer enjoy outdoor activities as he once had. His self-esteem derived from his work performance was greatly diminished. He suffered from depression, low mood, and cognitive difficulties, PTSD and ongoing pain with attendant sleep deprivation. Prognosis for improvement of his condition was poor to guarded. Mr. Murphy was awarded $175,000 for his non-pecuniary damages.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Pearson v. Savage</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2017 BCSC 1435</w:t>
        </w:r>
      </w:hyperlink>
      <w:r>
        <w:rPr>
          <w:rFonts w:ascii="arial" w:eastAsia="arial" w:hAnsi="arial" w:cs="arial"/>
          <w:color w:val="000000"/>
          <w:sz w:val="20"/>
          <w:lang w:val="en-US" w:eastAsia="en-US" w:bidi="ar-SA"/>
        </w:rPr>
        <w:t xml:space="preserve"> in which the plaintiff who was 21 years old at the time of the accident went on to suffer chronic soft tissue injuries in her neck, back and knee and ongoing headaches caused by the collision. She also suffered from depression, anxiety and symptoms of PTSD all of which were in partial remission at the time of trial approximately six years post-accident. Madam Justice Loo found that Ms. Pearson suffered difficulties with her recreational activities including hiking, boating, fishing and snowboarding and the relationships with family and friends had been impacted. Her medical prognoses were poor and at best guarded. Ms. Pearson had, however, continued to work as much as she could despite her pain. She was awarded $175,000 for her non-pecuniary damages.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Domil v. Cheung</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2017 BCSC 65</w:t>
        </w:r>
      </w:hyperlink>
      <w:r>
        <w:rPr>
          <w:rFonts w:ascii="arial" w:eastAsia="arial" w:hAnsi="arial" w:cs="arial"/>
          <w:color w:val="000000"/>
          <w:sz w:val="20"/>
          <w:lang w:val="en-US" w:eastAsia="en-US" w:bidi="ar-SA"/>
        </w:rPr>
        <w:t xml:space="preserve"> in which the plaintiff who was 37 years old at the time of a first collision almost five years before trial. She also suffered from injuries caused by a second collision that occurred four years before trial. At the time of the first collision she was working as a tax examiner for the Canada Revenue Agency and had qualified for a higher level in that position. The second collision exacerbated her injuries. Ms. Domil suffered soft tissue injuries to her neck and shoulders as well as a contusion to her left knee and multiple bruises. The soft tissue injuries continued to cause her pain and suffering at the time of trial, well beyond the normal recovery time for such injuries but were not permanently disabling and would continue to improve with proper treatment. The plaintiff also suffered psychological injuries as a consequence of the collisions. Mr. Justice Skolrood accepted that the plaintiff's injuries would not prevent her from returning to her previous employment and found that her mental health would likely improve despite a long-term prognoses that was somewhat guarded. Ms. Domil was awarded $175,000 for her non-pecuniary damages.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Risling v. Riches-Glazema</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2016 BCSC 2423</w:t>
        </w:r>
      </w:hyperlink>
      <w:r>
        <w:rPr>
          <w:rFonts w:ascii="arial" w:eastAsia="arial" w:hAnsi="arial" w:cs="arial"/>
          <w:color w:val="000000"/>
          <w:sz w:val="20"/>
          <w:lang w:val="en-US" w:eastAsia="en-US" w:bidi="ar-SA"/>
        </w:rPr>
        <w:t xml:space="preserve"> in which the plaintiff a house painter who was 42 years old at the time of the collision suffered soft tissue injuries to her shoulders, neck, low-back, ongoing headaches and psychological injuries. Although Affleck J. found that her injuries would limit her capacity to paint houses but also found that her injuries were not serious enough to prevent her from working entirely. Mr. Justice Affleck also found that although Ms. Risling's hobbies, including playing guitar, camping, boating and fishing had been limited they were not entirely prevented as a consequence of her injuries. Ms. Risling was awarded $150,000 for her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submit that Mr. Culver should be awarded non-pecuniary damages of between $100,000 and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making those submissions the defendants submit that Mr. Culver suffered moderate soft tissue injuries in both collisions. They also acknowledge that he suffers from chronic pain and will likely suffer at least some form of fluctuating pain indefinitely. They submit, however, that Mr. Culver is still able to enjoy hiking and camping albeit in less remote locations and is still capable of at least medium strength work and can go to the gym for some exercise and can swim. They also submitted that with treatment his physical and mental condition should improve. Although they acknowledge Dr. Anderson's diagnosis of Mr. Culver's psychiatric difficulties they also submitted that he was pre-disposed to developing a psychiatric condition and that his learning disabilities should reduce his damage awards. I have rejected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making their submissions the defendants rely upon the following cases: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Curry v. Powar</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2015 BCSC 610</w:t>
        </w:r>
      </w:hyperlink>
      <w:r>
        <w:rPr>
          <w:rFonts w:ascii="arial" w:eastAsia="arial" w:hAnsi="arial" w:cs="arial"/>
          <w:color w:val="000000"/>
          <w:sz w:val="20"/>
          <w:lang w:val="en-US" w:eastAsia="en-US" w:bidi="ar-SA"/>
        </w:rPr>
        <w:t xml:space="preserve"> in which a tow truck driver who was 41 years of age at the time of the motor vehicle collision in which he was injured suffered injuries to his neck that required surgery as well as a significant injury to his right hip that would likely require surgery. At trial three years post-collision Mr. Justice Tindale found that Mr. Curry was suffering from myofascial pain syndrome, a major depressive disorder and persistent somatic disorder as a result of the collision. Mr. Justice Tindale also found that the plaintiff's evidence concerning his subjective complaints had to be viewed with caution. Mr. Curry was awarded $100,000 for his non-pecuniary losses.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Elpel v. Glover</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2018 BCSC 1404</w:t>
        </w:r>
      </w:hyperlink>
      <w:r>
        <w:rPr>
          <w:rFonts w:ascii="arial" w:eastAsia="arial" w:hAnsi="arial" w:cs="arial"/>
          <w:color w:val="000000"/>
          <w:sz w:val="20"/>
          <w:lang w:val="en-US" w:eastAsia="en-US" w:bidi="ar-SA"/>
        </w:rPr>
        <w:t xml:space="preserve"> in which a bookkeeper and housekeeper who was 46 years old at the time of a motor vehicle collision in September of 2011 suffered soft tissue injuries to her upper back and neck. At trial almost seven years post-collision Pearlman J. found that Ms. Elpel continued to suffer from chronic pain, had developed a somatic symptom disorder, depression related to chronic pain and that her prognosis for improvement was guarded. Mr. Justice Pearlman also found that Ms. Elpel had the capacity to engage in light physical activity and likely retain that capacity over the long term. Ms. Elpel was awarded $95,000 for her non-pecuniary losses.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Easton v. Wolovets</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2015 BCSC 210</w:t>
        </w:r>
      </w:hyperlink>
      <w:r>
        <w:rPr>
          <w:rFonts w:ascii="arial" w:eastAsia="arial" w:hAnsi="arial" w:cs="arial"/>
          <w:color w:val="000000"/>
          <w:sz w:val="20"/>
          <w:lang w:val="en-US" w:eastAsia="en-US" w:bidi="ar-SA"/>
        </w:rPr>
        <w:t xml:space="preserve"> in which a carpenter who was 33 years old at the time of trial in 2014 had been involved in three motor vehicle collisions. The first of those had occurred almost six years earlier in October of 2008, the second in November of 2011 and the third in March of 2013. He suffered soft tissue injuries to his shoulder, neck and back. Mr. Justice Williams found that the principal injury suffered by Mr. Easton in the 2008 collision was one that resulted in a diagnosis of Thoracic Outlet Syndrome which Williams J. stated was the "driver for most of the injuries that found his claims". The effects of Thoracic Outlet Syndrome included myofascial and chronic pain, and a moderately severe depressive disorder. It has also negatively impacted his relationship with his spouse, his ability to fully participate in the upbringing of their infant son and his ability to work in his trade. His pre-accident outdoor pastimes were substantially limited and at trial he continued to suffer depression and anxiety in an automobile. Mr. Justice Williams also found that although many of Mr. Easton's symptoms would likely continue after trial "albeit with some level of resolution to be expected". Mr. Easton was awarded $125,000 for his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Although other cases are of some assistance in assessing an award of non-pecuniary damage it is an off-cited principle that no two cases are the same. Each person who endures a debilitating injury is unique and the nature of the injuries suffered by plaintiffs and their life circumstances will rarely be identical. See: </w:t>
      </w:r>
      <w:r>
        <w:rPr>
          <w:rFonts w:ascii="arial" w:eastAsia="arial" w:hAnsi="arial" w:cs="arial"/>
          <w:i/>
          <w:color w:val="000000"/>
          <w:sz w:val="20"/>
          <w:lang w:val="en-US" w:eastAsia="en-US" w:bidi="ar-SA"/>
        </w:rPr>
        <w:t>Schubert v. Knorr</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2008 BCSC 939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my opinion Mr. Culver's injuries have in some ways had a more profound impact upon all aspects of his enjoyment of life than any of the plaintiffs in the cases to which I was referred by counsel. In part that has arisen because of the extent to which Mr. Culver's efforts to overcome his learning disabilities resulted in his pursuit of excellence in physical activities that dominated his life before he was injured. While he persevered in attempting to improve his educational standing so that he could obtain more remunerative full time non-seasonal employment he was able to enjoy life because of his physical prowess and agility. That prowess translated into not only employment opportunities, but also his ability to enjoy the outdoors and rock climbing. It was also at the core of his self-esteem that has been badly shaken notwithstanding his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Mr. Culver's last four years have been drastically altered by the physical, mental and emotional injuries that he suffered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prospect of significant improvement in his life is at best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all of those circumstances I am satisfied that an award of $175,000 will appropriately compensate Mr. Culver to the extent that any monetary award could, for his pain and suffering and his loss of enjoyment of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Grewal v. Neumann</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Goepel J.A., in dissent in the result but with the concurrence of the majority on the issue of the assessment of both past and future loss of earning capacity wrote at paras. 48 and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this case the fundamental question to be answered in relation to both Mr. Culver's past and future loss of earning capacity claims is whether the evidence establishes a real and substantial possibility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he would have continued to be employed by Cameron or a like employer at a similar rate of remuneration for the remainder of his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If that is established the subsidiary question of the quantification of that loss becomes what are the possibilities and probabilities of events that may affect the extent of his loss. The latter inquiry requires consideration of not only positive but also negative contingencies that could impact upon the assessment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this case also, quantification of the appropriate compensation for Mr. Culver's past and future lost income capacity must have regard to the extent that he has been and will be able to earn income in his post collision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Mr. Culver asserts that his past loss of income earning capacity should be assessed as being approximately $288,000 less the necessary income tax deduction required by s. 98 of the </w:t>
      </w:r>
      <w:r>
        <w:rPr>
          <w:rFonts w:ascii="arial" w:eastAsia="arial" w:hAnsi="arial" w:cs="arial"/>
          <w:i/>
          <w:color w:val="000000"/>
          <w:sz w:val="20"/>
          <w:lang w:val="en-US" w:eastAsia="en-US" w:bidi="ar-SA"/>
        </w:rPr>
        <w:t>Insurance (Motor Vehicle)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Mr. Culver suggests application of a tax rate of 25 percent that would result in a net award of approximately $228,000.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defendants submit that Mr. Culver's past loss of income earning capacity should be assessed as being from approximately $62,000 to $72,000 net of the necessary income tax deduction (suggested to be 20 percent) under s. 98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difference in the positions advanced by Mr. Culver and the defendants lies primarily in their assessment of the likelihood that Mr. Culver would have had a lengthy career with Cameron if his physical abilities had not been diminished to the extent that he could no longer do the work required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Culver's submission was based in large measure upon the proposition that the work at Cameron was the culmination of all of his years of effort expended to obtain his Grade 12 English equivalency that made employment at Cameron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Support for this proposition is evidenced by the facts that plans had been made not only by him but also by Ms. Bradley for a long life in a smaller more remote community in which they could both earn good money and enjoy the outdoor lifestyle they both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defendants' submission is premised upon Mr. Culver's work at Cameron being far less than permanent given his past work history and the short length of time he had been employed by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To put Mr. Culver's claims for loss of past and future income earning capacity into perspective it is necessary to examine the nature of the work at Cameron as well as the prospects for his continued employment and advancement there when considered against Mr. Culver's past work history as well as the limitations upon that earning capacity arising from his learning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It is also necessary to consider the extent to which Mr. Culver remains employable as a window washer or in other less physically intensive work than that if in future his injuries and chronic pain prevent him from doing window washing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evidence establishes that the work Mr. Culver was doing at Cameron was very physically demanding. It required heavy lifting and physically demanding body movements and dexterity to allow movement of very heavy fittings both in the shop and in the field to assemble fracking towers and other structures needed for use in the gas and oil fields of Alberta and British Columbia. The work in the shop involved torque wrenching, hammer wrenching, impacting and manipulating parts of machinery to both assemble and disassemble the necessary structures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the field the work was even more physically demanding and more intense because of the lack of overhead cranes to assist with movement of structural components and because of the time constraints involved in placing or removing structures. Field work also involved long and at times difficult drives over rough terrain for long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Culver was able to do all of the work required of him as a field technician at Cameron. Cameron also invested in Mr. Culver as an employee by paying for all of the necessary courses he had to complete to be certified to work for Cameron in that capacity. That included training and certification in first aid, wildlife awareness, space entry, petroleum safety, forklift operation, and overhead crane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Culver successfully completed all of those courses and that training. He was also scheduled to take training to obtain his Class 3 driver's license in January of 2016 that would have been paid for by Cameron so that he could do more driving for the company for field work. He could not do that training or obtain that license because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One aspect of the work at Cameron that was particularly attractive to Mr. Culver was it being centered in a smaller community with ready access to the outdoors for both work and pleasure.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Although counsel for the defendant urged upon me the proposition that work in such remote locations is very much a "young man's game" and that Mr. Culver's relationship with Ms. Bradley was such that he would be unlikely to continue with long term employment with Cameron. I do not accept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evidence establishes that Ms. Bradley was supportive of Mr. Culver's work away from Vancouver and had herself taken steps to obtain a Class 1 license with air brake training to be able to also find employment in or near Grande Prairie. Also, as indicated by Mr. Culver's perseverance in completing his Grade 12 English to be able to obtain work with better remuneration and long term job stability, in all of which he was aided by Ms. Bradley, the job at Cameron was in fact his dream job. I am satisfied that he would have continued to do that work and enjoy it and the lifestyle it provided well into the future 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had not prevented him from continuing with the job with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addition to Mr. Culver, Ms. Jessica McHaffie who hired Mr. Culver to work at Cameron and Mr. Daron Sarmaga who worked with Mr. Culver at Cameron testified about Mr. Culver's performance while at Cameron; remuneration for the work; employment benefits; the job market for Cameron employees; the stability of Cameron's workforce; prospects for advancement with Cameron; and, overseas opportunities for employees such as Mr. Culver.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McHaffie was the human resources manager specialist at Cameron who hired Mr. Culver as a field service technician in September of 2014. She held that positon from June of 2014 until November of 2017 when she moved to British Columbia to work for Veg Pro in Coldstream where she is still a human relations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She described the physical testing required to be successfully completed by Mr. Culver before he was hired as well the physical duties required of the job. Those included lifting, crouching, sitting, bending, maneuvering under equipment, working at heights and in extreme weather as well as the requirement to routinely lift equipment well in excess of 50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Field service technicians worked on a schedule of 15 days on and 6 days off. They were paid hourly and were paid time and one half for work over 44 hours per week. She testified that most technicians would be into overtime within their third day of work, especially in the field where they were paid for all hours from the time of leaving the shop until they completed the work in the field and returned to Grande Prairie.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She testified that Mr. Culver made a positive impression on his supervisors, showed up on time, worked all of his shifts and that she never had a complaint about his ability to learn or do any work required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Ms. McHaffie testified that the average cost to Cameron for the training and certificates that Mr. Culver was required to take and obtain was between $1,000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She further testified that when Mr. Culver attempted to return to work in March of 2016 after the first collision he was unable to come to work the next day and that Cameron did not have the ability to give modified duties to someone injured outside of work. She also testified that any short term benefits to which he might otherwise have been entitled would not "kick in" until he had been employed for at least 6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Significantly also, Ms. McHaffie testified that work at Cameron is consistent and remained steady notwithstanding the ups and downs of the oil and gas industry. That is so because of the extent to which work at Cameron in Grande Prairie is more involved with natural gas than crude oil. In the latest downturn Cameron only had two major lay-offs and all employees were hired back within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Ms. McHaffie further testified that:</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field service technicians generally averaged $100,000 in gross earnings per year and shop employees averaged $80,000 per year in 2016;</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2018 an employee in Mr. Culver's position at Cameron earned $115,00 that year;</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more senior technician employees make between $150,000 and $170,000 because of the high incidence of overtime and have hourly wage rates in the "high 30's per hour";</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 of field technicians at Cameron ranges from 18 years old into the mid 60's;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technicians in their 50's and 60's work in the shop environment;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long term employees have worked for Cameron for 10, 15 or even 30 years;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Cameron employees receive 2.5% of their gross wages as additional pension contributions;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Cameron offers various possibilities for advancement including sales positions which require, reading, writing and computer skills;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Cameron also offers overseas jobs that require work very similar to that of the field technicians in Canada that are available after about two years of employment; and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overseas positions can last from 3 to 5 years and overseas work is paid on the basis of 28 days on and 28 days off with the employee being paid full base salary even during those 28 days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Sarmaga was a field service technician with Cameron in Grande Prairie while Mr. Culver worked there. He started in October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Sarmaga worked as a field service technician for Cameron for about three and one half years before advancing to a sales role in the company. Among other things that role requires computer skills as well as product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Concerning his work as a field service technician Mr. Sarmaga testified that:</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shop the work required to build equipment for use in the oil or gas fields was physically demanding requiring snipe wrenching, hammer wrenching, impacting and manipulating equipment;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in the shop required lifting of a minimum of 50 lbs and a maximum of "as much as you can lift";</w:t>
      </w:r>
    </w:p>
    <w:p>
      <w:pPr>
        <w:numPr>
          <w:numId w:val="8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he could lift was about 173 pounds but he had seen others lift more and at times two people would lift objects as heavy as 500 pounds;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field the work also required lifting where equipment including valves had to be lifted and top sections of some equipment weighed as much as 1000 pounds. In those cases the equipment would be lifted with a crane but the technicians were required to guide pieces by hand using their own strength. They also had to lift and carry equipment that could weigh up to 150 pounds per piece;</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Field work required extensive physical labour in lifting and body positioning including lengthy periods of bending;</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on a specific project could take up to four shifts of nine hours all of which the technician was required to work without interruption but for which significant overtime would be paid; and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recalled working 120 hours of overtime in one two week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Sarmaga testified that while working as a field service technician he did not advance beyond the level of a "helper". He had a Grade 12 education and had taken some additional college level courses. Many field service technicians did not have a full high school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As a field service technician Mr. Sarmaga earned $24 per hour in 2015 and earned about $100,000 that year. Field service technicians at Cameron are currently paid $29 per hour to start. The average pay for field service technicians is about $100,000 per year but some employees earn as much as from $140,000 to $180,000 per year because of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Sarmaga testified that there are opportunities for advancement for field service technicians at Cameron including overseas work and inspector positions as well as sales positons. The inspector positions are still very hands on and require some reading and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Sarmaga testified that he worked with Mr. Culver in the shop almost every day at Cameron from October of 2014 until December of 2014. His impressions of Mr. Culver were that he was "funny", "outgoing", and a "hard worker". He had a "go, go, go" attitude. He was physically in good condition and could perform the tasks required without taking physical breaks. He never displayed any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An Agreed Statement of Facts establishes that in the four months that Mr. Culver worked at Cameron in 2014 he earned approximately $25,000 as well as vacation pay of approximately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totality of the evidence that I accept satisfies me that for a starting point my assessment of Mr. Culver's loss of past earning capacity should be based upon a yearly income of no less than $90,000 plus $2,250 per year of lost pension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That yearly income assessment includes my consideration of negative contingencies such as short layoffs of the type testified to by Ms. McHaffie as well as positive contingencies such as salary increases. It also includes my assessment of the substantial likelihood that Mr. Culver would have remained as an employee of Cameron in Grande Prairie for the four year period from the time of the first collision until the time of trial. I consider it highly unlikely that he would not have continued to be so employed given his performance albeit for a relatively short time and his determination to succeed in his dream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Mr. Culver's claim for past income loss will accordingly be assessed based upon total income lost at Cameron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$369,000 from the date of the first collision until the start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From that total amount must be deducted:</w:t>
      </w:r>
      <w:r>
        <w:rPr>
          <w:rFonts w:ascii="arial" w:eastAsia="arial" w:hAnsi="arial" w:cs="arial"/>
          <w:sz w:val="20"/>
          <w:lang w:val="en-US" w:eastAsia="en-US" w:bidi="ar-SA"/>
        </w:rPr>
        <w:cr/>
      </w:r>
    </w:p>
    <w:p>
      <w:pPr>
        <w:numPr>
          <w:numId w:val="9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earned from other employment;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from other sources; and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appropriate deduction for income tax required by s. 98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Culver earned a total of $115,167 in income from employment for the four year period from 2015 to the beginning of 2019. That amount is based upon reported earnings of $39,653 (including vacation pay from Cameron) in 2015; $20,359 in 2016; $17,608 in 2017; and $37,550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those four years Mr. Culver also received approximately $24,500 in Employment Insurance benefits including approximately $6,300 estimated as being paid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Culver accordingly received a total of approximately $139,667 from income and Employment Insurance in the period from the first collision until the commencement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result, I conclude that Mr. Culver's post-accident loss of income earning capacity is $229,433.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 have concluded that the appropriate income tax deduction to be applied to that award under the provisions of s. 98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is 25% ($57,358) resulting in a net award of $172,075.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Determination of the appropriate award for Mr. Culver's lost of future earning capacity requires consideration of much of the same evidence as that relevant to the determination of the award for his past loss of capacity but also requires consideration of whether the evidence establishes a substantial likelihood that he would have continued to be employed by Cameron or a similar employer at wages similar to those he received at Cameron in 2014. It also requires consideration of potential positive contingencies such as the prospects for advancement in Cameron or with another employer, the likely length of his future working life with Cameron or in similar employment as well as the potential for wage increases.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Determination of the appropriate award for Mr. Culver's loss of future income earning capacity also requires consideration of negative contingencies that could decrease the amount of likely remuneration he might receive over his remaining working life including: the relatively short period of time for which he had been employed at Cameron; his past working history with seasonal and part time employment over many years; the demanding physical aspects of the job; the volatility of the oil and gas industry; the effect his learning disabilities might have on his prospects for continued employment or advancement; and, the potential for disruption to employment because of the remoteness of the location of the work upon his relationship with Ms. Bradley.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addition to those negative and positive contingencies, determination of the appropriate award for Mr. Culver's future loss of earning capacity must also have regard to the extent that he is still able to earn income from sources such as Ace or other window washing companies, bearing in mind, however, the toll that such work continues to take upon him emotionally and physically; the extent to which his present condition may in future preclude such work, and if so what alternate work he may able to do and for how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Counsel for Mr. Culver has submitted that the appropriate award for Mr. Culver's future loss of earning capacity should be between $900,000 and $1,300,000.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Counsel for the defendants submit that an appropriate award for Mr. Culver's future loss of earning capacity should be in the range of $150,000 and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As I have earlier noted,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the Court of Appeal confirmed that the assessment of the loss of both past and future income earning capacity involve the consideration of hypothetical events. A future or hypothetical possibility will be taken into consideration as long as it is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 note also that </w:t>
      </w:r>
      <w:r>
        <w:rPr>
          <w:rFonts w:ascii="arial" w:eastAsia="arial" w:hAnsi="arial" w:cs="arial"/>
          <w:i/>
          <w:color w:val="000000"/>
          <w:sz w:val="20"/>
          <w:lang w:val="en-US" w:eastAsia="en-US" w:bidi="ar-SA"/>
        </w:rPr>
        <w:t>in Perren v. Lalari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cited by Goepel J.A.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Garson J.A. for the Court stated (at para. 32) that if a plaintiff has discharged the onus of proving a real and substantial possibility that a future event will lead to an income loss the plaintiff may prove that loss of capacity on an earnings approach or a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find that the potential for the long term employment of Mr. Culver at Cameron is a real and substantial possibility. Notwithstanding the short time that he was employed by Cameron before the first collision precluded him from continuing that employment, the totality of the evidence satisfies me that long term employment with Cameron was not only possible but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Culver was a good fit for the job and very much enjoyed the work. He had worked hard to establish the necessary educational status to obtain the type of employment that he sought - full time non-seasonal employment that offered a secure future. The work required that which he was most able to provide - physical strength, dexterity and endurance. He did well in all aspects of the job and was well regarded by his supervisors and fellow employees. Further, Ms. McHaffie testified that it is likely that she would have re-hired Mr. Culver if 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assessment of Mr. Culver's loss of future earning capacity thus requires that, among other things, I must weigh the possibilities and probabilities of hypothetical events that could impact the real and substantial possibility of the future long term employment of Mr. Culver by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Counsel for Mr. Culver has primarily addressed the issue of Mr. Culver's loss of future income earning capacity on an earnings approach. He does so comparing Mr. Culver's potential income from Cameron, but for the first collision, with Mr. Culver's likely income from other employers, such as Ace, that he is still able to earn. He submits that Mr. Culver's loss of future income earning capacity should be based upon the differences between those income streams.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addition counsel for Mr. Culver adduced the expert evidence of an economist, Mr. Darren Benning who provided a statistical approach upon which to assess Mr. Culver's future loss of income capacity by comparing Mr. Culver's potential earning as an oil and gas technician (with employers other than Cameron) and his work as a window cleaner or alternatively as a low income worker earning $15 per hour. In the further alternative Mr. Benning compared Mr. Culver's potential pre-collision earnings as a "tradesperson" as opposed to a window cleaner or a low income worker earning $15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am satisfied that Mr. Benning's statistical approach is of limited value because of the extent to which it relies on data that does not recognize the idiosyncratic nature of Mr. Culver's before and after earning capacity - because of his learning disability or the type of work done by Cameron in the "oil patch" because of the "boom or bust" nature of oil field drilling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For those reasons I am satisfied that the appropriate approach to the assessment of Mr. Culver's loss of future earning capacity is to use his income earning capacity at Cameron as a starting point and to compare that to his income earning capacity as a window washer at Ace or a similar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both cases I must consider positive and negative contingencies that would effect the earning capacity of each type of work. The difference between his likely earnings at Cameron and those as a window washer as a measureable income loss must then be further assessed to determine the appropriate quantification of his loss of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Before turning to my determination of the appropriate award for Mr. Culver's loss of income earning capacity I must first address the evidence of Mr. Min Kyi an Occupational Therapist and Functional Capacity Evaluator and Mr. John Lawless a Vocational Rehabilitation Consultant whose opinions were adduced as expert evidence by Mr. Culver.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Kyi performed a functional capacity evaluation of Mr. Culver on April 10, 2018. Mr. Kyi was a well-qualified witness whose evidence is consistent with the evidence of Mr. Culver and others whose evidence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He opined that Mr. Culver did not exaggerate his physical limitations and stated: "He overestimates what may be good for him. We have to be cautious that he won't do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Kyi also reported that over the time required to complete the necessary physical testing Mr. Culver's performance declined to the extent that "encountered work activity exceeded Mr. Culver's reasonable daily work capacity to some extent". That evidence is consistent with Mr. Culver's evidence about the extent to which a day's work of ground level window washing - even with the lesser physical requirements required for high level washing - results in declining production and requires periods of rest during the day as extended periods of recuperation including laying on his back and doing nothing at the end of a day's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Kyi also opined that Mr. Culver is not now physically suited to the type of work expected of oil field workers or worker/laborers. Obviously, the intensely physical work at Cameron falls within or exceeds the physical requirements of those comparator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addition, Mr. Kyi opined that Mr. Culver is not now physically suited to the full spectrum of the work tasks associated with the type of window washing, especially Bosun chair and rope work, that he did before he was injured. He also testified that even with ground level work a part time schedule would improve Mr. Culver's functional work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Lawless met with and assessed Mr. Culver on August 15, 2018. He tested and evaluated Mr. Culver's abilities in various areas likely to be involved in different work related settings. The evaluation included math, reading and writing tests which not surprisingly given the totality of the evidence indicated Mr. Culver has significant difficulty in each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He noted that Mr. Culver's pre-collision work history showed progressively higher income in years leading up to the collision and opined that but for the collision he could have continued work with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Lawless also offered the opinion that Mr. Culver may have been able to achieve supervisory roles with Cameron and believed that Mr. Culver had the basic interest and education to potentially pursue trades with Cameron to advance in the oil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While I accept that Mr. Lawless is qualified to give that opinion I am not satisfied that there is a strong evidentiary foundation for it. The evidence of Mr. Culver's supervisory role at Ace leads me to conclude that Mr. Culver's potential to supervise others in the role of field service technician is within the realm of possibility. However, the evidence of Mr. Sarmaga about the need for computer skills and organizational skills to advance in other areas leads me to the opposite conclusion about work in other than the type of job Mr. Culver was doing at Cameron before his injuries, although perhaps in a supervising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Lawless also testified that Mr. Culver's post-accident vocational potential is now "much diminished". I agree Mr. Culver obviously cannot return to the type of physically demanding wok at Cameron and even his work at Ace is to a significant extent dependent upon an accommodating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Lawless offered a pessimistic but in my view realistic opinion about Mr. Culver's job prospects if he is unable to continue as a window washer without significant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He wrote " ...if Mr. Culver is no longer suited to the laborious work that characterised his career, and he is likewise unsuited to the lighter and more skillful occupations that are their normal alternatives, there is going to be little else for him to consider vocationally."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Having considered the totality of the evidence that I consider reliable and the submissions of counsel I have concluded that:</w:t>
      </w:r>
      <w:r>
        <w:rPr>
          <w:rFonts w:ascii="arial" w:eastAsia="arial" w:hAnsi="arial" w:cs="arial"/>
          <w:sz w:val="20"/>
          <w:lang w:val="en-US" w:eastAsia="en-US" w:bidi="ar-SA"/>
        </w:rPr>
        <w:cr/>
      </w:r>
    </w:p>
    <w:p>
      <w:pPr>
        <w:numPr>
          <w:numId w:val="9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real and substantial likelihood that Mr. Culver would have continued to work for Cameron not only until the date of trial for which he has been compensated by my award of damages for past income loss but into the future. I reach that conclusion notwithstanding the defendants' submissions that Mr. Culver's career history of earnings in part time and seasonal jobs made it likely that the work at Cameron would also have been short-lived. The facts that: this was a "dream job"; he had worked so hard to obtain a level of education that allowed him to pursue that job; his ability to do the work to the satisfaction of his employer who would have likely rehired him if he had not been injured; and, the arrangements made by Ms. Bradley to accommodate life and work in a smaller community all convince me that there is a real and substantial likelihood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Culver would have continued to work for Cameron into the foreseeable future if he had not been injured.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time for which Mr. Culver would likely have continued employment with Cameron cannot be determined with any degree of precision. The fact that Cameron was engaged in an area of oil and gas field work that was largely recession resistant is a positive contingency. The physical nature of the work is both a positive and negative contingent factor. While Mr. Culver's pre-existing learning disabilities would not preclude continuation of that heavy physical work they would negatively impact his ability to obtain other or similar employment that require more non-physical skills that he lacks. I accept the evidence of Ms. McHaffie that employees at Cameron do the type of work that Mr. Culver was doing into their 60's but that evidence is lacking in sufficient particularity for me to determine that Mr. Culver would have worked that long. I find that a reasonable expectation of continued employment with Cameron as Mr. Culver gained experience and knowledge would be from age 37 (his age at the date of trial) to age 55.</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it is reasonable to assume that during those 19 years of employment Mr. Culver would have earned no less than $100,000 per year inclusive of pension contributions. That conservative estimate is markedly lower than could be supported by the evidence of Mr. Sarmaga or Ms. McHaffie but is based upon the assumption that his income would not increase markedly, notwithstanding his experience in the job, to reflect my assessment of negative contingencies including the possibility of layoffs, work related injuries or the vicissitudes of life that could negatively affect his earning capacity.</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accordingly find that a reasonable estimate of Mr. Culver's post-trial loss of future income earning capacity from work at Cameron or like employment is $1,900,000.</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find that it is not unreasonable to assume that Mr. Culver will continue to work as a seasonal window washer doing the same type of work that he now does with the accommodations of his present employer and that his remuneration will continue to be at a rate of approximately $27 per hour.</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with the 19 years that Mr. Culver would likely have worked at Cameron, I am also satisfied that given his strong work ethic Mr. Culver will continue to work in the window washing field for as long as he can given his physical limitations.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recognize, however, that Mr. Culver will continue to require significant accommodation by an employer which cannot be expected to last for as long as 19 years and that Mr. Culver will always be at risk of diminished earnings either by way of cessation of accommodation, layoffs or, as suggested by Mr. Lawless, reduced work each week during the window washing season.</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all of those reasons I am satisfied that for the purpose of determining an appropriate award for Mr. Culver's loss of future income earning capacity, a reasonable estimate for Mr. Culver's continuing ability to work notwithstanding his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approximately $45,000 per year (based upon Mr. Culver's projected 2018 earning) for 19 years, being in total $855,000.</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same way that I have not adjusted Mr. Culver's estimated income from Cameron over those years upwards to adjust for inflation, wage increases or possible promotions or downwards to reflect negative contingencies such as layoffs, work related injuries or the vicissitudes of life I have not adjusted Mr. Culver's estimated income from Ace or a similar employer upwards to account for inflation, salary increases or promotion or because of those same negative contingencies.</w:t>
      </w:r>
    </w:p>
    <w:p>
      <w:pPr>
        <w:numPr>
          <w:numId w:val="10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these two income earning capacity projections that have been adjusted to account for negative and positive contingencies Mr. Culver would be entitled to an award of $1,045,000. That award would have to be reduced to reflect actuarial future income loss multipliers provided by Mr. Benning.</w:t>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of those economic multipliers provided by Mr. Benning (which in his view are appropriate when income is expressed on a full time full year basis including non-wage benefits) and include consideration of the lump sum present value of future income loss required by s. 56(3)(a)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results in an award of $764,885 rounded to $765,000.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conclude that the appropriate award for Mr. Culver's future loss of income earning capacity is $765,000.</w:t>
      </w:r>
      <w:r>
        <w:rPr>
          <w:rFonts w:ascii="arial" w:eastAsia="arial" w:hAnsi="arial" w:cs="arial"/>
          <w:sz w:val="20"/>
          <w:lang w:val="en-US" w:eastAsia="en-US" w:bidi="ar-SA"/>
        </w:rPr>
        <w:cr/>
      </w:r>
    </w:p>
    <w:p>
      <w:pPr>
        <w:numPr>
          <w:numId w:val="10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The relevant principles governing claims for the cost of future care were addressed by Madam Justice Harris in, </w:t>
      </w:r>
      <w:r>
        <w:rPr>
          <w:rFonts w:ascii="arial" w:eastAsia="arial" w:hAnsi="arial" w:cs="arial"/>
          <w:i/>
          <w:color w:val="000000"/>
          <w:sz w:val="20"/>
          <w:lang w:val="en-US" w:eastAsia="en-US" w:bidi="ar-SA"/>
        </w:rPr>
        <w:t>Peters v. Ortner</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2013 BCSC 1861</w:t>
        </w:r>
      </w:hyperlink>
      <w:r>
        <w:rPr>
          <w:rFonts w:ascii="arial" w:eastAsia="arial" w:hAnsi="arial" w:cs="arial"/>
          <w:color w:val="000000"/>
          <w:sz w:val="20"/>
          <w:lang w:val="en-US" w:eastAsia="en-US" w:bidi="ar-SA"/>
        </w:rPr>
        <w:t xml:space="preserve"> at paras. 141-145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The plaintiff is entitled to compensation for the cost of future care based on what is reasonably necessary to restore him to his pre-accident condition in so far as that is possible.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The test for determining the appropriate award under the heading of cost of future care is an objective one based on the medical evidence. For an award of future care: there must be a medical justification for claims for cost of future care and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[143]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or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68-70.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Culver has advanced a claim for the cost of future care in the amount of between approximately $164,500 and $167,750.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majority of those claims and the costs associated with them are included in a cost of future care report prepared by Mr. Rob Corcoran, an occupational therapist based upon his assessment of Mr. Culver and that of other experts whose evidence was allowed by Mr. Culver. A summary of those claims and associated costs is reproduced below:</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30" type="#_x0000_t75" style="width:402pt;height:549.75pt">
            <v:imagedata r:id="rId945" o:title=""/>
          </v:shape>
        </w:pict>
      </w:r>
      <w:r>
        <w:rPr>
          <w:rFonts w:ascii="arial" w:eastAsia="arial" w:hAnsi="arial" w:cs="arial"/>
          <w:sz w:val="20"/>
          <w:lang w:val="en-US" w:eastAsia="en-US" w:bidi="ar-SA"/>
        </w:rPr>
        <w:t xml:space="preserve">  </w:t>
      </w:r>
      <w:r>
        <w:pict>
          <v:shape id="_x0000_i1231" type="#_x0000_t75" style="width:402pt;height:237pt">
            <v:imagedata r:id="rId946"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addition to those claims totalling between $139,561 and $142,750 Mr. Culver's counsel has submitted that Mr. Culver should be awarded:</w:t>
      </w:r>
      <w:r>
        <w:rPr>
          <w:rFonts w:ascii="arial" w:eastAsia="arial" w:hAnsi="arial" w:cs="arial"/>
          <w:sz w:val="20"/>
          <w:lang w:val="en-US" w:eastAsia="en-US" w:bidi="ar-SA"/>
        </w:rPr>
        <w:cr/>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for job placement assistance based upon five required job assistance placements at $4,000 each; and</w:t>
      </w:r>
    </w:p>
    <w:p>
      <w:pPr>
        <w:numPr>
          <w:numId w:val="10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$5,000 for CBD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defendants acknowledge that they should compensate Mr. Culver for some of the costs he has claimed but dispute some costs as well as the length of time attributed to the need to incur such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defendants submit that the total award for the costs of Mr. Culver's future care should be between approximately $50,500 and $67,000.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More specifically, the defendants submit the following with respect to the cost of care claims advanced by Mr. Culver:</w:t>
      </w:r>
      <w:r>
        <w:rPr>
          <w:rFonts w:ascii="arial" w:eastAsia="arial" w:hAnsi="arial" w:cs="arial"/>
          <w:sz w:val="20"/>
          <w:lang w:val="en-US" w:eastAsia="en-US" w:bidi="ar-SA"/>
        </w:rPr>
        <w:cr/>
      </w:r>
    </w:p>
    <w:p>
      <w:pPr>
        <w:numPr>
          <w:numId w:val="1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submit that the award for psychological counselling should be based upon 30 to 36 sessions over four years at a total cost of from $5,790 to $6,948 with a present value of $5,659 to $6,9712 as opposed to Mr. Culver's claim for counselling costs of $2,123 per year to age 65 totalling $46,375;</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submit that the award for massage therapy should be calculated on a decreasing incidence of therapy sessions totaling 30 to 40 sessions over the next five years at a cost of between $3,225 and $4,300 with a present value of between $3,142 and $4,176 as opposed to Mr. Culver's claim for massage therapy costs based upon $1,290 per year to age 65 totalling $28,179.</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agree to a one time expense of $1,072.</w:t>
      </w:r>
    </w:p>
    <w:p>
      <w:pPr>
        <w:numPr>
          <w:numId w:val="1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counselling and job search assistance: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agree that vocational counselling is an appropriate cost of future care but submit that a cost of $1,523 to reflect the cost of counselling provided by Progressive Rehabilitation as opposed to the average cost of two service providers in the amount of $2,262 suggested by Mr. Corcoran in his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also submit that the $20,000 suggested by counsel for Mr. Culver in job placement assistance are not necessary.</w:t>
      </w:r>
    </w:p>
    <w:p>
      <w:pPr>
        <w:numPr>
          <w:numId w:val="1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Supervised exercise: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agree that some costs related to supervised exercise should be awarded but submit that the amount should be limited to from $450 to $900 based on a cost of $75 per session as opposed to Mr. Culver's claims based upon Phase I and Phase II supervised exercise to age 65 totalling $13,368.</w:t>
      </w:r>
    </w:p>
    <w:p>
      <w:pPr>
        <w:numPr>
          <w:numId w:val="1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Multidisciplinary pain clinic: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agree that a comprehensive multidisciplinary pain program as recommended by Dr. Burlin has the potential to produce a major impact upon Mr. Culver's life and agree that a one time expense of $14,930 is medically justified.</w:t>
      </w:r>
    </w:p>
    <w:p>
      <w:pPr>
        <w:numPr>
          <w:numId w:val="1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(Pristiq, Buproprion, Pregablin, Tramadol, Cyclobenzpine, CBD oil and dispensing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agree that the cost of some medication is appropriately awarded as a cost of Mr. Culver's future care but submit that the total award should be between $23,395 and $36,451 as opposed to a total medications award of $39,052 (including $5,000 for CBD oil) sought by Mr. Culver.</w:t>
      </w:r>
    </w:p>
    <w:p>
      <w:pPr>
        <w:numPr>
          <w:numId w:val="1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Adaptive aids: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submit that adaptive aids such as a back support, orthopaedic pillow, low height (task) stool and ergonomic creeper are items that relate to Mr. Culver's enjoyment of life rather than an ongoing medical need. They are, however, prepared to accept a one time expense of $500 to $1,000 as a onetime payment for the costs of such adaptive aids for the course of his lifetime as opposed to Mr. Culver's claims for a total of $3,052 based upon periodic replacement of those aids as recommended by Mr. Corcoran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After consideration of the totality of the evidence that I consider reliable, the submissions of counsel and the legal principles to which I have referred I have concluded that the appropriate award for Mr. Culver's cost of future care is $80,860. That amount is a net amount that reflects, to the extent necessary, the lump sum present value of those aspects of the award that will be required over time required by s. 56(3)(b) of the </w:t>
      </w:r>
      <w:r>
        <w:rPr>
          <w:rFonts w:ascii="arial" w:eastAsia="arial" w:hAnsi="arial" w:cs="arial"/>
          <w:i/>
          <w:color w:val="000000"/>
          <w:sz w:val="20"/>
          <w:lang w:val="en-US" w:eastAsia="en-US" w:bidi="ar-SA"/>
        </w:rPr>
        <w:t>Law and Equity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reach that conclusion based upon my assessment and reasons for that assessment of each item for future care sought by Mr. Culver as follows:</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$15,000: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Anderson recommended that Mr. Culver be enrolled in a further course of cognitive behaviour therapy with an experienced psychologist. He also suggested that Mr. Culver be seen for a further 10 to 12 sessions before re-assessing needs for further treatment and says Mr. Culver may require long term supportive therapy of 10 to 12 sessions per year. I do not accept the defendants' submission that a total of 30 to 36 sessions is sufficient to account for Mr. Culver's future emotional and psychological care, the need for which is directly related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other hand I am not satisfied that the totality of the evidence is capable of supporting the need for 10 to 12 psychological consulting sessions per year to age 65. The evidence of Mr. Culver about the progress he has made to date with psychological counselling and the impact it has had on lessening his depression and isolation convinces me that although he will likely need continuing support it will not be as intensive or for a long time as suggested by his counsel. I am satisfied that Mr. Culver's worst emotional and psychological times are behind him. In these circumstances I am satisfied that a total lump sum award of $15,000 will appropriately address Mr. Culver's need for continuing emotional and psychological care.</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satisfied that the award for the cost of medically necessary and reasonable massage therapy should be limited to the number of sessions submitted by the defendants or limited to five years. Although Dr. Anton did report that he would prefer active to passive treatment which only provides temporary relief and also recommended that Mr. Culver "wean himself off" of massage therapy. Dr. Anton also testified, however, that massage therapy may be necessary for flare ups. What the defendants' submissions seeking to limit the award for massage therapy fail to recognize is that the temporary relief that Mr. Culver obtains from massage therapy plays a significant role in his ability to continue to work as a window washer notwithstanding the exacerbation of his lower back and leg pain associated with that work. Without that temporary relief Mr. Culver's income earning ability would be more impaired than it is and could result in the need to pursue less physical employment with attendant loss of remuneration. I am satisfied that a lump sum award of $8,000 for massage therapy for Mr. Culver's future care is both medically necessary and reasonable.</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$1,072: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agreed.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counselling and job search assistance: $6,232: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accept the defendants' positon that the lower cost of Progressive Rehabilitation should be accepted as the basis for the medically necessary counselling recommended by Dr. Anderson and Dr. Anton. In my opinion the averaging of the cost of the two quotations is as recommended by Mr. Corcoran is reasonable. I find that $2,232 for counselling is medically necessary and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however accept that an additional $20,000 for job search assistance based upon five searches during Mr. Culver's working life is either necessary or reasonable. The totality of the evidence establishes that limited job opportunities are available to Mr. Culver because of his physical limitations and pre-existing learning difficulties are limited. Also, previous job search assistance of which he availed himself was of limited value. In addition, Mr. Culver has always been able to obtain work that he was capable of doing and I find that he remains capable of doing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said that, I accept Mr. Lawless' assessment that in the event that Mr. Culver leaves employment with Ace which he eventually expects him to do he would benefit from job placement assistance. That assistance would cost $4,000 each time that it is required. While I agree with Mr. Lawless that it is likely that Mr. Culver will eventually leave employment with Ace I do not accept that Mr. Culver will require such job replacement assistance each time he seeks new employment. I am satisfied that Mr. Culver is intelligent and capable of learning enough from one future job assistance search to be able to look for other jobs without again incurring such an expense. I am accordingly satisfied that a one time payment of $4,000 will reasonably compensate Mr. Culver for the cost of job search assistance rendered necessary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Supervised Exercise: $900: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support that the cost of supervised exercise for the length of time suggested by counsel for Mr. Culver is necessary. Mr. Culver is engaged in a self-directed exercise program. Dr. Anton recommended "fine tuning" of that program and suggested more cardio-vascular exercise. He suggested an additional 6 to 12 sessions. Dr. Anderson recommended that Mr. Culver be enrolled in a supervised exercise program under the direction of a kinesiologist. In his report Mr. Kyi opined that Mr. Culver is well aware of appropriate exercise technique. The cost of 12 sessions as reported by Mr. Corcoran is $900 over two years. In all of the circumstances I find that an award of $900 for supervised exercise is medically necessary and reasonable.</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Multidisciplinary pain clinic: $14,930: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agreed.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(Pristiq, Buproprion, Pregablin, Tramadol, Cyclobenzpine, and dispensing fees): $31,674: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Mr. Culver's claims for the future cost of pharmaceutical medicine expenses are all medically necessary and reasonable and may be understated given that the claims are based on that medication only being necessary to age 65. I find that the cost associated with all of the claims should be allowed as presented with the exception of Pregabalin for which a range of from $3,189 to $6,378 was suggested by Mr. Corcoran. I find that the cost for should be assessed at $4,000 to reflect the fact that with the support of Dr. Burlin Mr. Culver is tapering down his use of that drug. I accordingly award $31,674 for prescription drugs and dispensing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accept the defendants' submission that the award for prescription drugs should be reduced by 30 to 40 percent for potential decreased use of those drugs or the possibility of recovery under a future health care plan.</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Adaptive aids: $3,052: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disagree with the defendants' submissions that the adaptive aids such as a back support, orthopaedic pillow, low height (task) stool and ergonomic creeper which Mr. Culver claims as costs of future care relate only to Mr. Culver's enjoyment of life. In my view those aids are necessary to enable him to cope with the ongoing pain that he suffers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 also disagree with the position taken by the defendants that Mr. Culver's ongoing care needs can be met with a one time payment for the purchase of those necessary aids. The evidence establishes to my satisfaction that replacement of those aids at the frequency for each identified by Mr. Corcoran is necessary and reasonable. I accordingly find that Mr. Culver's claims for adaptive aids should be allowed in the total amount of $3,052 as presented.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CBD Oil - $0: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controversial claim made by Mr. Culver for future medications relates to the use of CBD oil for pain. Dr. Burlin suggested Mr. Culver's use of medical marihuana and CBD oil for his pain and sleeplessness but also testified as to a lack of evidence of the future benefits of the oil to Mr. Culver. Mr. Culver testified that each vial of CBD oil costs about $125 and last about a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Murphy v. Hofer</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2018 BCSC 869</w:t>
        </w:r>
      </w:hyperlink>
      <w:r>
        <w:rPr>
          <w:rFonts w:ascii="arial" w:eastAsia="arial" w:hAnsi="arial" w:cs="arial"/>
          <w:color w:val="000000"/>
          <w:sz w:val="20"/>
          <w:lang w:val="en-US" w:eastAsia="en-US" w:bidi="ar-SA"/>
        </w:rPr>
        <w:t xml:space="preserve"> at para. 218 Sewell J. declined to make and award for CBD oil as a part of a cost of future care award because of lack of evidence that the beneficial effects are unavailable from other analgesics or sedative medication that would cost 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Carillo v. Deschutter</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2018 BCSC 2134</w:t>
        </w:r>
      </w:hyperlink>
      <w:r>
        <w:rPr>
          <w:rFonts w:ascii="arial" w:eastAsia="arial" w:hAnsi="arial" w:cs="arial"/>
          <w:color w:val="000000"/>
          <w:sz w:val="20"/>
          <w:lang w:val="en-US" w:eastAsia="en-US" w:bidi="ar-SA"/>
        </w:rPr>
        <w:t>, Dardi J. awarded $12,000 for medical cannabis as a part of the plaintiff's cost of future care award. In that decision Dardi J. had the benefit of a significant amount of evidence about the potential benefits of medical cannabis and especially CBD oil as a pain management tool and as a potential replacement for other drugs. She also had the evidence of Mr. Carillo about the positive effects of the medical cannabis that he believed he was obtaining from its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 have Mr. Culver's evidence that he prefers the use of CBD oil to other analgesics I do not have the benefit of a medical opinion on the benefits of that use. This is a medical issue which is likely to receive much attention in the coming years and medical evidence may in future establish a sufficient evidentiary base capable of supporting an award of the type now sought by Mr. Culver.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based upon the evidence adduced by Mr. Culver I am unable to award any amount for his use of CBD oil.</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parties have agreed that the defendants are obligated to pay Mr. Culver $17,187.78 in reimbursement of special damages paid by him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one item upon which the parties have not agreed is $903.32 paid by Mr. Culver as reimbursement for his purchase of medical marihuana and CBD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The legal principles governing whether reasonable expenses incurred by a plaintiff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defendant are not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at para. 69 Sinclare-Prowse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far as the legal principles governing this claim are concerned, a plaintiff is entitled to recover all reasonable expenses incurred as a result of his or her injuries. The reasonableness of a particular expense is to be measured in the context of the surrounding circumstances at the time that the expense was incurred: K.D. Coopers - 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2nd ed. (Scarborough: Carswell,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More recently in Dhillon v. Singer, </w:t>
      </w:r>
      <w:hyperlink r:id="rId949" w:history="1">
        <w:r>
          <w:rPr>
            <w:rFonts w:ascii="arial" w:eastAsia="arial" w:hAnsi="arial" w:cs="arial"/>
            <w:i/>
            <w:color w:val="0077CC"/>
            <w:sz w:val="20"/>
            <w:u w:val="single"/>
            <w:shd w:val="clear" w:color="auto" w:fill="FFFFFF"/>
            <w:lang w:val="en-US" w:eastAsia="en-US" w:bidi="ar-SA"/>
          </w:rPr>
          <w:t>2017 BCSC 414</w:t>
        </w:r>
      </w:hyperlink>
      <w:r>
        <w:rPr>
          <w:rFonts w:ascii="arial" w:eastAsia="arial" w:hAnsi="arial" w:cs="arial"/>
          <w:color w:val="000000"/>
          <w:sz w:val="20"/>
          <w:lang w:val="en-US" w:eastAsia="en-US" w:bidi="ar-SA"/>
        </w:rPr>
        <w:t xml:space="preserve"> at para. 200, Fleming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Claims for special damages are subject to a standard of reasonableness in the context of the injuries suffered: Redl v. Sellin, </w:t>
      </w:r>
      <w:hyperlink r:id="rId186"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at para. 55. Medical justification for a treatment related expense aimed at promoting the plaintiff's physical or mental well-being is a factor in determining whether it is reasonable. Subjective factors can also be considered, including whether the plaintiff believes the treatments were medically necessary. With respect to cost, the courts have been prepared to allow claims for expenses at the level of optimum care, although plaintiffs are not entitled to recovery for the cost of any procedure they believe will make them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Culver incurred the expense of $903.32 for medical marihuana and CBD oil to help with the pain and difficulty with sleeping that he was suffering from because of his injuries. Dr. Burlin suggested that he do so and Mr. Culver reports that he obtained some relief from his use of those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Although I denied Mr. Culver's claim for purchase of CBD oil as a component of his cost of future care I did so because of Dr. Burlin's inability to testify as to the future benefits of that product for Mr. Culver's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am satisfied that the lack of proof of medical necessity for future care does not preclude reimbursement of Mr. Culver for the costs incurred by him for medical marihuana and CBD oil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 find that the expenditure of the funds for marihuana and CBD oil at the time those cost were incurred in circumstances in which Dr. Burlin was prepared to suggest the use of those products to assist Mr. Culver's recovery establishes medical justification. Mr. Culver's testimony as to the benefits he received from the expense establishes the reasonableness of the expense incurred. I am satisfied that the products would not have been purchased but for the injuries suffered by Mr. Culver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result I find that Mr. Culver is entitled to reimbursement by the defendants for the special damages he has incurred in the total amount of $18,091.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As a consequence of the injuries he has suffered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Culver is entitled to the following awards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 for pain and suffering and $ 175,000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enjoyment of life: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Past loss of income earning capacity: $172,075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loss of income earning capacity: $ 765,000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 of Future Care: $ 80,860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 </w:t>
      </w:r>
      <w:r>
        <w:rPr>
          <w:rFonts w:ascii="arial" w:eastAsia="arial" w:hAnsi="arial" w:cs="arial"/>
          <w:color w:val="000000"/>
          <w:sz w:val="20"/>
          <w:u w:val="single"/>
          <w:lang w:val="en-US" w:eastAsia="en-US" w:bidi="ar-SA"/>
        </w:rPr>
        <w:t>$ 18,091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Award: $1,211,026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Unless there are matters of which I am unaware Mr. Culver is entitled to his costs of this proceeding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056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Yamagata v. The Owners, Strata Plan NW 1546, 2019 BREG para. 50,998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S176103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BREG para. 50,998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[2019] B.C.J. No. 327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2019 BCSC 286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Jennifer Yamagata and Dean Yamagata v. The Owners, Strata Plan NW 1546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commentary at </w:t>
      </w:r>
      <w:hyperlink r:id="rId958" w:history="1">
        <w:r>
          <w:rPr>
            <w:rFonts w:ascii="arial" w:eastAsia="arial" w:hAnsi="arial" w:cs="arial"/>
            <w:i/>
            <w:color w:val="0077CC"/>
            <w:sz w:val="20"/>
            <w:u w:val="single"/>
            <w:shd w:val="clear" w:color="auto" w:fill="FFFFFF"/>
            <w:lang w:val="en-US" w:eastAsia="en-US" w:bidi="ar-SA"/>
          </w:rPr>
          <w:t>BREG para. 15,615</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0" w:name="Keywords_43"/>
      <w:bookmarkEnd w:id="280"/>
      <w:r>
        <w:rPr>
          <w:rFonts w:ascii="arial" w:eastAsia="arial" w:hAnsi="arial" w:cs="arial"/>
          <w:b/>
          <w:color w:val="000000"/>
          <w:sz w:val="20"/>
          <w:lang w:val="en-US" w:eastAsia="en-US" w:bidi="ar-SA"/>
        </w:rPr>
        <w:t xml:space="preserve">Strata titles — Strata corporation — Breach of duties — Repair and maintenance of common property — Test of reasonableness — Petitioners were owners of townhouse strata lot ("unit 16") in respondent strata corporation, comprised of 55 lots — Roof inspections conducted in 2013 indicated problems with mould and venting in units' attics, which were common property — In 2014, resolution was passed funding $100,000 for seven worst attics, including unit 16 — Strata council retained two further contractors to perform repairs between 2014 and 2016 — In 2016, resolution was passed to fund $126,000 for attic remediation — In 2017 and 2018, contractor reported that repair strategies were successful — Air tests conducted in July and August 2018 showed that two attics' mould remained high but interior living areas were within acceptable range — Petitioners applied for declaration that strata corporation was in breach of duty to repair and maintain common property under s. 72 of Strata Property Act — Petitioners sought order appointing administrator of strata corporation and order that strata corporation continue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which petitioners commenced in 2017 — Petition dismissed — Petitioners did not establish that strata corporation breached duty under s. 72(1) — In fulfilling s. 72(1) duty, strata corporation must act reasonably in circumstances — Strata corporation's choice of "good" solution rather than "best" solution did not render its approach to attic remediation unreasonable — Based on 2017 and 2018 monitoring, repairs appeared to have been effective - - Court did not find petitioners established that strata corporation acted unreasonably in all of circumstances — Fact that petitioners did not agree with strata corporation's approach did not render its actions unreasonable — With no breach of s. 72(1), order for appointment of administrator was not justified — Evidence showed strata council worked diligently to deal with difficult issues — With no breach of Act, continuing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against strata corporation was not justified — Strata Property Act, </w:t>
      </w:r>
      <w:hyperlink r:id="rId959" w:history="1">
        <w:r>
          <w:rPr>
            <w:rFonts w:ascii="arial" w:eastAsia="arial" w:hAnsi="arial" w:cs="arial"/>
            <w:b/>
            <w:i/>
            <w:color w:val="0077CC"/>
            <w:sz w:val="20"/>
            <w:u w:val="single"/>
            <w:shd w:val="clear" w:color="auto" w:fill="FFFFFF"/>
            <w:lang w:val="en-US" w:eastAsia="en-US" w:bidi="ar-SA"/>
          </w:rPr>
          <w:t>SBC 1998, c. 43, s. 72</w:t>
        </w:r>
      </w:hyperlink>
      <w:r>
        <w:rPr>
          <w:rFonts w:ascii="arial" w:eastAsia="arial" w:hAnsi="arial" w:cs="arial"/>
          <w:b/>
          <w:color w:val="000000"/>
          <w:sz w:val="20"/>
          <w:lang w:val="en-US" w:eastAsia="en-US" w:bidi="ar-SA"/>
        </w:rPr>
        <w:t>, 165, 171,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1" w:name="Case Summary_40"/>
            <w:bookmarkEnd w:id="28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Since 2011, the petitioners were the owners of a townhouse strata lot ("unit 16") in the respondent strata corporation, which was comprised of 55 lots. In 2011, the strata council was alerted to issues with respect to the units' attics, which were common areas. Roof inspections conducted in 2013 indicated a variety of problems requiring repairs, including dryer connections, inadequate ventilation, and the presence of mould, including at unit 16. At a 2014 meeting, the strata corporation sought approval for $200,000 for funding of repairs. A resolution was passed funding $100,000 for the seven worst attics, including unit 16. The strata council retained a different company to repair the 47 remaining attics, with repairs completed in early 2015. After a 2016 report revealed further problems with the attic spaces, a resolution was passed to fund $126,000 for attic remediation. In 2017 and 2018, a contractor reported that the repair strategies were successful in addressing ongoing moisture issues, including in unit 16. Air tests were conducted in July and August 2018, which showed that two attics' mould levels remained high, while the interior living areas of units were within the acceptable range. The strata council determined that there was no need for further remediation.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petitioners applied for a declaration that the strata corporation was in breach of its duties to repair and maintain the common property under section 72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"Act"), and sought an order requiring the strata corporation to perform its obligations and issue a special levy to complete the work. The petitioners also sought an order appointing an administrator of the strata corporation and an order that the strata corporation continue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that the petitioners commenced against it in 2017. </w:t>
            </w:r>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Held:</w:t>
            </w:r>
            <w:r>
              <w:rPr>
                <w:rFonts w:ascii="arial" w:eastAsia="arial" w:hAnsi="arial" w:cs="arial"/>
                <w:color w:val="000000"/>
                <w:sz w:val="20"/>
                <w:lang w:val="en-US" w:eastAsia="en-US" w:bidi="ar-SA"/>
              </w:rPr>
              <w:t xml:space="preserve"> The petition was dismissed.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the petitioners did not establish that the strata corporation breached its duty to maintain and repair the common property under section 72(1). Pursuant to case law, in fulfilling its duty, the strata corporation must act reasonably in the circumstances. While the petitioners argued that the strata corporation ought to have chosen a mould remediation specialist to effect repairs, the strata corporation's choice of a "good" solution rather than the "best" solution did not render its approach unreasonable. Based on the monitoring done by the third hired company in 2017 and 2018, the repairs appeared to have been effective. While the evidence of the testing done in July and August 2018 showed that problems with mould remained, the Court did not find that the petitioners established that the strata corporation acted unreasonably in all of the circumstances. The fact that the petitioners did not agree with the strata corporation's approach did not render its actions unreasonable.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there was no breach of section 72(1), an order for the appointment of an administrator was not justified. The evidence also showed that the strata council worked diligently to deal with difficult issues and an administrator was not required. The Court noted that while the petitioner's unit was one of many that experienced mould issues, the petitioners were the only complainants. As no breach of the Act was found, the petitioners also failed to establish that the relief of continuing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strata corporation was justified.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2" w:name="Counsel_44"/>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Epstein for the petitioners; P.A. Williams and E. Barnes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3" w:name="Judgment_44"/>
      <w:bookmarkEnd w:id="283"/>
      <w:r>
        <w:pict>
          <v:line id="_x0000_s1235"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background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and analysis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to repair and maintain common property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appointment of an administrator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Continuation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and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4" w:name="E.J. ADAIR J."/>
            <w:bookmarkEnd w:id="284"/>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petitioners own and live in a townhouse on Forest Grove Drive, in Burnaby B.C. The petitioners' townhouse is strata lot 40 in the Respondent strata corporation (the "Strata Corporation"), which is comprised of 55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petitioners say that the Strata Corporation has completely failed in its duty to repair and maintain the common property. The petitioners say that, in particular, the Strata Corporation has completely failed to address severe problems with moisture and mould in attic areas, which affect the petitioners' strata lot and other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Accordingly, the petitioners seek the following (among other items of relief):</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Strata Corporation is in breach of its duties to repair and maintain the common property of the Strata Corporation under s. 72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s. 165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requiring the Strata Corporation to perform its statutory obligations;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174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appointing an administrator of the Strata Corporation, together with appropriate ancillary orders;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165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authorizing the Strata Corporation to issue a special levy to the owners, based on their respective unit entitlements, not exceeding $250,000, with such levy to be payable in such manner as the administrator may decide;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165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that the Strata Corporation or the administrator continue legal proceedings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brought by the petitioners as plaintiffs (including their children) against Bayside Property Services Ltd., Moleski Joint Ventures and Alpine Property Services (collectively,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Strata Corporation says that the petitioners have failed to establish any basis for any of the relief to be granted, and, accordingly, the petition must be dismissed. The Strata Corporation acknowledges its obligation under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to repair and maintain the common property. It says that it has acted entirely reasonably in taking steps to address the issues raised relating to moisture and mould, and that any lack of success is not due to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lack of effort or misconduct on its part. With respect to the request for appointment of an administrator, the Strata Corporation says that none of the relevant factors are present here, and the appointment of an administrator cannot be justified. Finally, the Strata Corporation says that there is no basis to order that the Strata Corporation (or administrator if appointed) continue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which, at best, would benefit only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Strata Corporation consists of two separate buildings, shown on the strata plan as "Building 1" and "Building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Strata Corporation is managed by Bayside Property Services Ltd. ("Bayside") pursuant to the terms of an agency agreement dated April 21, 2010. Pursuant to para. 5.1 of that agreement, the Strata Corporation has given an indemnity in favour of Bayside, and it agrees to "save [Bayside] harmless from any and all claims, damages, costs and liability incurred in connection with the services provided to the Strata Corporation," unless "such claim, damage, cost or liability is caused by the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of Bayside. Bayside does not manage any of the strata lots comprising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Tracy Carothers is an employee of Bayside and, in June 2013, she was appointed by Bayside as the managing agent for the Strata Corporation. Ms. Carothers explained that the managing agent for the Strata Corporation attends and prepares minutes of the meetings of the strata council (the "Strata Council") and general meetings of the Strata Corporation. According to Ms. Carothers, these minutes form part of the business records of the Strata Corporation and must be prepared and retained as records and documents of the Strata Corporation pursuant to s. 35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Generally speaking, beginning June 1, 2013, Ms. Carothers prepared the minutes of the Strata Council meetings and the general meetings that are in evidence in this proceeding, with the exception of minutes of a meeting held June 19, 2014. Those minutes were prepared by Dana Johnson. Ms. Johnson has been a member of the Strata Council since January 2013, and, as of August 2017, was the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petitioners' strata lot (the "Unit") is located on levels 3 and 4 of Building 1, and is referred to as "Unit 16." The Unit shares a common wall with strata lots 41 (Unit 13) and 49 (Unit 15). Its west wall on level 3 is a boundary with a common property breezeway, and its west wall on level 4 shares a common wall with strata lot 38 (Unit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Unit and all other units except Unit 25 have attic space that is common property within the meaning of the Strata Corporation's bylaws and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Ms. Yamagata, she and her husband purchased the Unit in June 2011, after having a home inspection done. According to Ms. Yamagata, the inspection report stated that there was no mould or excess moisture in the Unit. According to Ms. Yamagata, after purchasing the Unit, she and her husband became aware that there was minor condensation on the interior of several windows in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However, according to Ms. Yamagata, since the petitioners purchased the Unit, she has learned that the common property (in particular the attics) of the Strata Corporation has suffered from a number of defects, which Ms. Yamagata identifies as follows:</w:t>
      </w:r>
      <w:r>
        <w:rPr>
          <w:rFonts w:ascii="arial" w:eastAsia="arial" w:hAnsi="arial" w:cs="arial"/>
          <w:sz w:val="20"/>
          <w:lang w:val="en-US" w:eastAsia="en-US" w:bidi="ar-SA"/>
        </w:rPr>
        <w:cr/>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missing, incomplete or insufficient duct insulation;</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taping and connection of vents and ducts;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obstructed or insufficient ventilation and exhaust venting;</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installation of ventilation and soffit baffles;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wood that is wet and contaminated with mould;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insufficient air intake and air flow;</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insufficient and improperly designed bathroom and exhaust fans;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missing or insufficient insulation, vapour barriers and weather stripping on attic access hatches;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or insufficient materials in relation to the above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Minutes of meetings of the Strata Council show generally how the Strata Council dealt with issues relating to the repair and maintenance of the common property in the relevant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example, minutes of meetings of the Strata Council from 2011 and 2013 indicate that the Strata Council considered matters relating to the repair and replacement of soffits. Minutes of meetings of the Strata Council from 2011 and 2012 indicate that the Strata Council addressed the matter of dryer vents on a number of occasions. According to minutes from a meeting in August 2011, the Strata Council directed Bayside to obtain quotes for an independent roofing company to check all dryer-vent connections from inside units as a precautionary matter to ensure that all dryer vents were properly connected following a roof replacement. The matters were further discussed at meetings in September and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minutes of a Strata Council meeting on April 18, 2012, the Strata Council approved having a contractor clean dryer vents from the outside of units, and reviewed quotes for changing the dryer vent connections in the upper and lower units. According to minutes of the Strata Council meeting on June 12, 2012, when the dryer vent cleaning was being done, it was discovered that three units had dryer vents that were not properly 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Matters relating to dryer vents and dryer vent ducting problems continued to be discussed by the Strata Council in 2013. The minutes of a Strata Council meeting on June 26, 2013 record that the Strata Council budgeted up to $16,000 to have all attics properly inspected in order to obtain an accurate assessment of the venting and condition of each attic. The minutes of the Strata Council meeting on September 4, 2013 record that the Strata Council accepted a proposal from James Dobney Inspections ("JDI") to inspect all of the attics. The minutes also record that once the inspections were complete, and JDI's report was received showing the scope of repair, the Strata Council would proceed with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inspections for all but five units (whose owners did not provide access until 2014) were done in early October 2013. According to JDI's report (the "JDI October Report") dated October 10, 2013 (in fact, a collection of reports), the attics had a variety of problems requiring repairs, including dryer connections, venting and inadequate ventilation. The JDI October Report also noted the presence of mould, including at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Strata Council reviewed the JDI October Report at a Strata Council meeting on October 23, 2013. The minutes record that the Strata Council was surprised at the scope of the ventilation problem, and that, of the units that were inspected, all had very poor ventilation and inadequate ducting, and less than adequate bathroom exhaust fans. Problems were compounded by owners of 15 units storing personal property in the attics. The Strata Council instructed Bayside to obtain three quotes for the replacement of bathroom exhaust fans, and for the repair and replacement of fan and dryer vent ducting. According to the minutes, once an estimate of the scope of work and costs involved was obtained, the Strata Council intended to bring the matter forward at the next annual general meeting for the owners to consider, by special resolution, funding the necessary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the minutes of the Strata Council meeting on December 4, 2013, seven units received notices that the attic inspectors had found mould in their attics, and that Medallion Healthy Homes (described as mould remediation specialists) would be testing in each of the seven units to determine the type of mould and establish a time-line for the clean-up. Medallion subsequently carried out an inspection of the seven units, which included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spring of 2014, and following up on recommendations in the JDI October Report and other reports, the Strata Corporation obtained quotes for repairs and remediation from three general contractors: Moleski Joint Venture, Grantson Construction Group Inc. and Abney Roofing Ltd. Moleski and Abney specifically included mould remediation in their quotes. According to Ms. Carothers, when Grantson delivered its quote, its representative also gave her a letter that stated the severe black mould conditions on the second floor living area of the Unit were the direct result of the owners' lifestyles and living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Strata Corporation also obtained quotes for attic mould remediation from Medallion, Urban Environment and ABM Environmental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a special general meeting on April 29, 2014, the Strata Corporation sought approval from the owners of $200,000 for funding of repairs, based on the quotes obtained. Ms. Yamagata attended the special general meeting. According to the minutes of the meeting, a representative from JDI gave a presentation and discussed the findings from the attic inspections. However, in the result, an amended resolution was passed to fund by special levy the amount of $100,000 for attic repairs. According to Ms. Johnson, owners present at the meeting expressed the view that $200,000 was too costly but were prepared to fund $100,000 for the seven worst attics (including the Unit's attic) while wanting the Strata Council to address repair of the remaining attics in a more cost-effective manner. The amended resolution was passed (27 in favour, none opposed and four abstentions).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the minutes of the May 12, 2014 Strata Council meeting, the Strata Council tentatively selected ABM to perform the mould remediation work, beginning with the seven worst attics (including the attic for the Unit), and Abney Roofing to make repairs to the common area attics. According to the minutes, at a subsequent meeting on May 22, 2014, the Strata Council decided to hire Moleski to do both the mould remediation and the attic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an extra Strata Council meeting on June 19, 2014 (after completion of six of the seven attics that required mould remediation), the Strata Council had Jon Moleski attend to discuss both the work done in the completed attics, and the work required in the remaining attics. According to the minutes of the July 16, 2014 Strata Council meeting, as of that date, Moleski had completed mould remediation and attic repairs in the seven worst attics. The Strata Council was then looking into the possibility of having the remaining repairs completed in a more cost-effective manner. The Strata Council had received a verbal quote from Alpine Property Services, and Bayside was directed to obtain a written quote.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due course, the Strata Council retained Alpine to complete repairs on the 47 remaining attics. Work began in September 2014 and continued into October. As of the Strata Council meeting on December 1, 2014, repairs had been completed on all but one of the remaining attics, and Alpine was awaiting access to complete the last repairs. Those repairs were finally completed as of the February 26, 2015 Strata Council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according to Ms. Yamagata, even after the work and repairs were done, she, her husband (the petitioner Dean Yamagata) and their children continued to experience a variety of "significant health problems" which Ms. Yamagata attributed to mould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March 2015, the Strata Corporation hired Medallion to perform air quality testing in two units, including the Unit. The test results indicated that there were still some moisture and mould issues. As a result of this testing, the Strata Council hired JDI to return and re-inspect six attics (three done by Moleski and three done by Alpine). According to JDI's report, there were continued problems in all attics. I note that the JDI report suggested that the Yamagatas themselves were contributing to the presence of mould in the Unit (something Ms. Yamagata strongly disputed in her communications with Ms. Carothers).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minutes of the May 13, 2015 Strata Council meeting state that, based on the JDI inspections, the contractors involved would be contacted to return and make any repairs noted. The minutes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Council would like to remind Owners that lifestyle habits can greatly affect the conditions of the interior of units and common attic spaces. Dobney has suggested that Owner living conditions are contributing to moisture issues in the attics. Owners should: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their kitchen and bathroom exhaust fans are clean and in good working order.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Use fans when cooking and showering, and leave fans running for an hour following use.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Open windows and blinds/drapes to allow air flow.</w:t>
      </w:r>
    </w:p>
    <w:p>
      <w:pPr>
        <w:numPr>
          <w:numId w:val="1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living areas and contents allow adequate air circulation throughout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minutes for the Strata Council meeting on July 9, 2015 reported concerning "Attic Treatment"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[Moleski] has returned to the seven attics they repaired to re-inspect and check on the condition of the attics one year after the work was completed. All seven attics are in good condition. Some moisture was present in two attics and all attics were sprayed again for mould as a precautionary measure. The contractor has agreed to return in the late fall to check the attics again as he is committed to ensuring the attics are dry. Moleski has also extended the warranty period an additional year for these attics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47 attics repaired by [Alpine], two Council members randomly selected several attics to inspect and some were found to require minor follow-up repairs, . . . Council met with [Alpine] which has agreed to return to the attics they repaired to ensure that the problems found in those units, as well as in all attics are resolved.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Council would like again to remind all Owners that lifestyle habits can greatly affect the conditions of the interior of units and common attic spaces.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the minutes of Strata Council meetings from the fall of 2015, the Strata Council continued to follow-up with the contractors (Alpine and Moleski) concerning completion of attic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according to Ms. Yamagata, the work done by Moleski and Alpine did not lessen the mould problems in the Unit, and she and Mr. Yamagata continued to complain to the Strata Council about mould problems in both the Unit and throughout the units in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Strata Council minutes of a meeting on February 17, 2016 report that the Strata Council had hired an engineering firm, RDH Building Science Inc., to review the "three problematic attics" (which included the Unit's attic) and two additional attics in order to provide a "general idea" of the condition of the attics. The minutes reported that RDH would investigate the five attics and review all of the reports prepared by previous inspectors and contractors. On completion of that review, RDH would provide a scope of work to "resolve the moisture problems and make recommendations on contractors to perform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Strata Council minutes of a meeting on April 13, 2016 included an "Attic Update," which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[RDH] reviewed five attics, including the three problematic attic spaces. Council is currently waiting for the report . . . Although anxious for the report, Council is confident that RDH is a highly reputable firm and is doing a thorough job. The outcome of this report is very important to all Strata Lot Owners, including the three most affected by the current moisture problems, and Council is committed to getting the issues resolved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May 6, 2016, RDH delivered its report. According to the report, RDH visited five units, including the Unit, and reported on its observations of the unit interiors and attic spaces. Problems identified included: signs (using smoke testing) of significant leakage of air from a bathroom duct into the attic when the bathroom fan was operating; plywood sheathing in the attic that was wet to the touch; an exhaust duct that was not connected to the bathroom fan; use of inappropriate insulation material; discontinuous vapour barriers; a disconnected dryer duct with signs (using smoke testing) of considerable leakage of humid air into the attic space under normal operating conditions; and staining on the plywood sheathing. The report included a number of "conceptual recommendations" with respect to rehabilitation activities, including a "complete and comprehensive attic remediation" for some of the attics. RDH stated that the conceptual recommendations did not provide a basis for implementing remedial work, but needed to be "developed, refined, and documented in detail" before construction work could be tendered to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 to the minutes of the Strata Council meeting on June 15, 2016, the Strata Council met with RDH on May 16, 2016, announced to the owners that RDH's report was available, and called a "Town Hall Meeting" for the owners on May 26. The minutes reported further that, at the town hall meeting, RDH explained their findings, the scope of the problems relating to the attics and answered questions. The minutes also reported that, following the town hall meeting, RDH provided the Strata Council with a proposal for their services that would be presented to the owners at an upcoming special general meeting. According to the minutes, at the special general meeting, the owners would be presented with a resolution to proceed with an "attic repair project," and that RDH be hired to "plan and design a workable, cost effective solution to the attic remediation, complete two test attics, inspect all other attics, assist Council with hiring a qualified contractor and provide contract administration, and follow up with results from the test attics."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Yamagata continued to express her concerns and frustration about the situation through e-mail correspondence with Ms. Carothers.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special general meeting was held on July 27, 2016. According to the minutes of the meeting, a total of 21 out of 55 strata lots (and eligible voters) were represented at this meeting. The "preamble" to the resolution placed before the meeting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RDH indicated that the attic structures at Rossmoor show abnormal and premature deterioration. RDH recommends a comprehensive attic investigation, maintenance measures in all attics, and implementation of a test solution in one or two attics. The test solution would be monitored through spring 2017 to determine if it reduces or eliminates the condensation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Strata Property Act mandates that the Strata Corporation has a responsibility to maintain the Strata's common property and, at Rossmoor, the attics are common property. RDH has identified a humidity and condensation issue which affects the attic structures.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Council recommends that RDH be hired to conduct a comprehensive attic investigation, design a test solution for excess attic humidity and condensation, assist Council in hiring a qualified contractor, oversee the work performed by the contractor, and provide recommendations following results from the test attic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proposed resolution sought approval by the owners of expenditure of up to $126,000 for attic remediation and consulting services of RDH. The resolution was passed unanimously.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minutes of the Strata Council meeting on August 18, 2016 report that RDH had been hired to "design a solution to resolve the problem of moisture in attics and implement that solution in two test attics." The Unit was one of the two test attics chosen. According to the minutes of the Strata Council meeting on October 26, 2016, another town hall meeting was held on October 24, 2016, and at that time, RDH gave a PowerPoint presentation and answered questions concerning "the process and potential solution to the attic moisture problem." Based on the recommendation of RDH, the Strata Council chose Common Ground Construction Ltd. to carry out the work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 February 3, 2017, the petitioners filed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named plaintiffs are the petitioners and Ms. Yamagata as litigation guardian for the petitioners' three children. Many of the facts set out in the "Factual Basis" of the petition are also found in "Part 1: Statement of Facts" in the notice of civil claim filed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petitioners allege that they (and the other plaintiffs) have suffered loss and damage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inspection and misrepresentations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Defendants. Among other things, the petitioners allege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Defendants breached duties (including a duty to warn) owed to them (and the other plaintiffs) in connection with the "Strata Remediation" (that is, the work done by Moleski and Alpine) in relation to the Unit (including the attic), and their breach of duties caused or contributed to continued mould growth and resulting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minutes of the Strata Council meeting on February 16, 2017 reported that Common Ground was in the process of completing work in the two test attics (which included the Unit's attic), and that RDH would be monitoring those attics (as well as a "control" attic) over the remaining winter months and into the spring. RDH was to report its findings to the Strata Council. The minutes of the Strata Council meeting on April 6, 2017 reported that Common Ground had completed the two test attics and that RDH had installed their monitoring equipment in the test attics and the control attic. The minutes also reported that Common Ground was proceeding with repairs in the remaining attics.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RDH provided its report to the Strata Council on July 11, 2017. RDH reported that, after repairs (including, in the Unit, air sealing at potential areas of air infiltration from the Unit into the attic) were completed, it had installed sensors in the two test units and the control unit and their attics. RDH reported that the sensors were installed to collect data for the period between March 29 and June 12, 2017. In the "Summary," RDH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the repair strategies implemented in unit 6 and unit 16 have been effective. By relative comparison of data, [an] electric heater in the attic space would likely minimize formation of condensation on the roof sheathing surface, and implementation of air sealing would likely reduce condensation risk even further; thereby, reducing the conditions required for mould growth. However, further monitoring of the attic conditions in colder weather during winter months is recommended to confirm these 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widespread implementation of the repair strategies to any other problematic attics . . . , it is recommended that monitoring be completed in the winter of 2017-2018 to confirm these findings, as well as better evaluate the energy consumption demand of heaters in colder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RDH reported further to the Strata Council on May 24, 2018, after (according to the report) carrying out further monitoring from October 17, 2017 to March 17, 2018. RDH reported that, based on the results of visual observations and the monitoring studies conducted in the attics, the repair strategies implemented in the test units appeared to have been successful in addressing the ongoing moisture issues in the attics of those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Based on this report from RDH, the Strata Council instructed Ms. Carothers to have several attics tested for mould. According to Ms. Carothers, Sterling IAQ Consultants Ltd. was retained and conducted mould testing in the attics of six different units, including the Unit. The results were set out in Sterling's report dated July 16, 2018. The Unit's attic had total spores per cubic meter of 997.5, compared with the outdoor airborne mould spore result (used for control) of 2,354.1 per cubic meter. Based on the report, the Unit's attic had the lowest count of the five units tested. The attics of two units (Unit 15 and Unit 55) had results for total spores per cubic meter that were considerably higher than the outdoor count. Sterling cautioned with respect to all of the airborne mould spore results that the results were considered unacceptable and not within industry standards for </w:t>
      </w:r>
      <w:r>
        <w:rPr>
          <w:rFonts w:ascii="arial" w:eastAsia="arial" w:hAnsi="arial" w:cs="arial"/>
          <w:color w:val="000000"/>
          <w:sz w:val="20"/>
          <w:u w:val="single"/>
          <w:lang w:val="en-US" w:eastAsia="en-US" w:bidi="ar-SA"/>
        </w:rPr>
        <w:t>living</w:t>
      </w:r>
      <w:r>
        <w:rPr>
          <w:rFonts w:ascii="arial" w:eastAsia="arial" w:hAnsi="arial" w:cs="arial"/>
          <w:color w:val="000000"/>
          <w:sz w:val="20"/>
          <w:lang w:val="en-US" w:eastAsia="en-US" w:bidi="ar-SA"/>
        </w:rPr>
        <w:t xml:space="preserve"> or </w:t>
      </w:r>
      <w:r>
        <w:rPr>
          <w:rFonts w:ascii="arial" w:eastAsia="arial" w:hAnsi="arial" w:cs="arial"/>
          <w:color w:val="000000"/>
          <w:sz w:val="20"/>
          <w:u w:val="single"/>
          <w:lang w:val="en-US" w:eastAsia="en-US" w:bidi="ar-SA"/>
        </w:rPr>
        <w:t>occupied</w:t>
      </w:r>
      <w:r>
        <w:rPr>
          <w:rFonts w:ascii="arial" w:eastAsia="arial" w:hAnsi="arial" w:cs="arial"/>
          <w:color w:val="000000"/>
          <w:sz w:val="20"/>
          <w:lang w:val="en-US" w:eastAsia="en-US" w:bidi="ar-SA"/>
        </w:rPr>
        <w:t xml:space="preserve"> spaces.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Carothers explained that, because of heightened mould results in Units 15 and 55, the Strata Council instructed her to request that Sterling do further testing of those units. According to its report dated August 24, 2018, Sterling carried out air sampling in each unit from the room in which the hatch to the attic was located. Ms. Carothers explained that this report noted that the interior living areas of both Units 15 and 55 were well within the acceptable range and the mould measurement was lower than the outside air mould count. According to Ms. Carothers, on that basis, the Strata Council determined that there was no need to test the interior living area of the Unit and there was no need to conduct any further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Between October 2013 and July 2017, the Strata Corporation spent approximately $180,000 on attic inspections, consultations, repairs, remediation and mould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will first address whether the petitioners have demonstrated that the Strata Corporation has breached its duty to repair and maintain the common property, so as to justify the remedies being sought under s. 165. In my view, the petitioners have failed to do so. I will then deal, relatively briefly, with the petitioners' request for the appointment of an administrator and for an order that the Strata Corporation continue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duty to repair and maintain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is no dispute that the Strata Corporation must repair and maintain common property and common assets: see s. 72(1)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There is also no dispute that the attics, roofs and exterior of the two buildings comprising the Strata Corporation are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If it is shown that the Strata Corporation has breached its obligation under s. 72(1)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then a remedy may be ordered under s. 165,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court remedies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165 On application of an owner, tenant, mortgagee of a strata lot or interested person, the Supreme Court may do one or more of the following: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strata corporation to perform a duty it is required to perform under this Act, the bylaws or the rules;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strata corporation to stop contravening this Act, the regulations, the bylaws or the rules;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orders it considers necessary to give effect to an order under paragraph (a) or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relevant legal principles that apply when it is asserted a strata corporation has failed in its duty to repair and maintain common property and common assets are conveniently summarized by N. Brown J. in </w:t>
      </w:r>
      <w:r>
        <w:rPr>
          <w:rFonts w:ascii="arial" w:eastAsia="arial" w:hAnsi="arial" w:cs="arial"/>
          <w:b/>
          <w:i/>
          <w:color w:val="000000"/>
          <w:sz w:val="20"/>
          <w:lang w:val="en-US" w:eastAsia="en-US" w:bidi="ar-SA"/>
        </w:rPr>
        <w:t>Leclerc v. The Owners, Strata Plan LMS 614</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2012 BCSC 74</w:t>
        </w:r>
      </w:hyperlink>
      <w:r>
        <w:rPr>
          <w:rFonts w:ascii="arial" w:eastAsia="arial" w:hAnsi="arial" w:cs="arial"/>
          <w:color w:val="000000"/>
          <w:sz w:val="20"/>
          <w:lang w:val="en-US" w:eastAsia="en-US" w:bidi="ar-SA"/>
        </w:rPr>
        <w:t>, beginning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In </w:t>
      </w:r>
      <w:r>
        <w:rPr>
          <w:rFonts w:ascii="arial" w:eastAsia="arial" w:hAnsi="arial" w:cs="arial"/>
          <w:i/>
          <w:color w:val="000000"/>
          <w:sz w:val="20"/>
          <w:lang w:val="en-US" w:eastAsia="en-US" w:bidi="ar-SA"/>
        </w:rPr>
        <w:t>Weir v. Owners, Strata Plan NW 17</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2010 BCSC 784</w:t>
        </w:r>
      </w:hyperlink>
      <w:r>
        <w:rPr>
          <w:rFonts w:ascii="arial" w:eastAsia="arial" w:hAnsi="arial" w:cs="arial"/>
          <w:color w:val="000000"/>
          <w:sz w:val="20"/>
          <w:lang w:val="en-US" w:eastAsia="en-US" w:bidi="ar-SA"/>
        </w:rPr>
        <w:t>, Josephson J. neatly summarized the relevant legal principles regarding the duty of a strata corporation to repair and maintain common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There is little issue regarding the law. The respondent has a fundamental duty to repair and maintain its common property: s. 72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Royal Bank of Canada v. Holden</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7 R.P.R. (3d) 80</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[1996] B.C.J. No. 2360</w:t>
        </w:r>
      </w:hyperlink>
      <w:r>
        <w:rPr>
          <w:rFonts w:ascii="arial" w:eastAsia="arial" w:hAnsi="arial" w:cs="arial"/>
          <w:color w:val="000000"/>
          <w:sz w:val="20"/>
          <w:lang w:val="en-US" w:eastAsia="en-US" w:bidi="ar-SA"/>
        </w:rPr>
        <w:t xml:space="preserve"> (S.C.). In performing that duty, the respondent must act reasonably in the circumstances: </w:t>
      </w:r>
      <w:r>
        <w:rPr>
          <w:rFonts w:ascii="arial" w:eastAsia="arial" w:hAnsi="arial" w:cs="arial"/>
          <w:i/>
          <w:color w:val="000000"/>
          <w:sz w:val="20"/>
          <w:lang w:val="en-US" w:eastAsia="en-US" w:bidi="ar-SA"/>
        </w:rPr>
        <w:t>Wright v. Strata Plan No. 205</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 B.C.L.R. (3d) 343</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[1996] B.C.J. No. 381</w:t>
        </w:r>
      </w:hyperlink>
      <w:r>
        <w:rPr>
          <w:rFonts w:ascii="arial" w:eastAsia="arial" w:hAnsi="arial" w:cs="arial"/>
          <w:color w:val="000000"/>
          <w:sz w:val="20"/>
          <w:lang w:val="en-US" w:eastAsia="en-US" w:bidi="ar-SA"/>
        </w:rPr>
        <w:t xml:space="preserve"> (S.C.), aff'd </w:t>
      </w:r>
      <w:hyperlink r:id="rId964" w:history="1">
        <w:r>
          <w:rPr>
            <w:rFonts w:ascii="arial" w:eastAsia="arial" w:hAnsi="arial" w:cs="arial"/>
            <w:i/>
            <w:color w:val="0077CC"/>
            <w:sz w:val="20"/>
            <w:u w:val="single"/>
            <w:shd w:val="clear" w:color="auto" w:fill="FFFFFF"/>
            <w:lang w:val="en-US" w:eastAsia="en-US" w:bidi="ar-SA"/>
          </w:rPr>
          <w:t>(1998), 103 B.C.A.C. 249</w:t>
        </w:r>
      </w:hyperlink>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43 B.C.L.R. (3d) 1</w:t>
        </w:r>
      </w:hyperlink>
      <w:r>
        <w:rPr>
          <w:rFonts w:ascii="arial" w:eastAsia="arial" w:hAnsi="arial" w:cs="arial"/>
          <w:color w:val="000000"/>
          <w:sz w:val="20"/>
          <w:lang w:val="en-US" w:eastAsia="en-US" w:bidi="ar-SA"/>
        </w:rPr>
        <w:t xml:space="preserve">. Furthermore, the starting point for the analysis should be deference to the decision made by the strata council as approved by the owners: </w:t>
      </w:r>
      <w:r>
        <w:rPr>
          <w:rFonts w:ascii="arial" w:eastAsia="arial" w:hAnsi="arial" w:cs="arial"/>
          <w:i/>
          <w:color w:val="000000"/>
          <w:sz w:val="20"/>
          <w:lang w:val="en-US" w:eastAsia="en-US" w:bidi="ar-SA"/>
        </w:rPr>
        <w:t>Browne v. Strata Plan 582</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2007 BCSC 206</w:t>
        </w:r>
      </w:hyperlink>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70 B.C.L.R. (4th) 102</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Where the court determines that the strata council has breached its duty under s. 72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court may grant a mandatory injunction pursuant to s. 165 or appoint an administrator to perform the role of the strata council pursuant to s. 174.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 In resolving problems of this nature, there can be "good, better or best" solutions available. Choosing an approach to resolution involves consideration of the cost of each approach and its impact on the owners, of which there is no evidence before the court. Choosing a "good" solution rather than the "best" solution does not render that approach unreasonable such that judicial intervention is warranted.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carrying out its duty, the respondent must act in the best interests of all the owners and endeavour to achieve the greatest good for the greatest number. That involves implementing necessary repairs within a budget that the owners as a whole can afford and balancing competing needs and priorities: </w:t>
      </w:r>
      <w:r>
        <w:rPr>
          <w:rFonts w:ascii="arial" w:eastAsia="arial" w:hAnsi="arial" w:cs="arial"/>
          <w:i/>
          <w:color w:val="000000"/>
          <w:sz w:val="20"/>
          <w:lang w:val="en-US" w:eastAsia="en-US" w:bidi="ar-SA"/>
        </w:rPr>
        <w:t>Sterloff v. Strata Corp. of Strata Plan No. VR 2613</w:t>
      </w:r>
      <w:r>
        <w:rPr>
          <w:rFonts w:ascii="arial" w:eastAsia="arial" w:hAnsi="arial" w:cs="arial"/>
          <w:color w:val="000000"/>
          <w:sz w:val="20"/>
          <w:lang w:val="en-US" w:eastAsia="en-US" w:bidi="ar-SA"/>
        </w:rPr>
        <w:t xml:space="preserve">, 38 R.P.R. (3d) 102, </w:t>
      </w:r>
      <w:hyperlink r:id="rId966" w:history="1">
        <w:r>
          <w:rPr>
            <w:rFonts w:ascii="arial" w:eastAsia="arial" w:hAnsi="arial" w:cs="arial"/>
            <w:i/>
            <w:color w:val="0077CC"/>
            <w:sz w:val="20"/>
            <w:u w:val="single"/>
            <w:shd w:val="clear" w:color="auto" w:fill="FFFFFF"/>
            <w:lang w:val="en-US" w:eastAsia="en-US" w:bidi="ar-SA"/>
          </w:rPr>
          <w:t>[1994] B.C.J. No. 445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Browne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[30] The course of action chosen by the respondent may or may not resolve the problems. If it does not, further remedial work, including separation of the two drainage systems, may be required. The respondent acknowledges that it will undertake that remedial work if it proves reasonably necessary.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It may even prove to be the case that the approach of the petitioner is the wiser and preferable course of action. Again, that does not render the approach of the respondent unreasonable.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[32] Disagreements between strata councils and some owners are not infrequent. However, courts should be cautious before inserting itself into the process, particularly where, as here, the issue is the manner in which necessary repairs are to be effected.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The Owners are entitled to rely upon and be guided by professional advice from professionals: see </w:t>
      </w:r>
      <w:r>
        <w:rPr>
          <w:rFonts w:ascii="arial" w:eastAsia="arial" w:hAnsi="arial" w:cs="arial"/>
          <w:i/>
          <w:color w:val="000000"/>
          <w:sz w:val="20"/>
          <w:lang w:val="en-US" w:eastAsia="en-US" w:bidi="ar-SA"/>
        </w:rPr>
        <w:t>Oldaker</w:t>
      </w:r>
      <w:r>
        <w:rPr>
          <w:rFonts w:ascii="arial" w:eastAsia="arial" w:hAnsi="arial" w:cs="arial"/>
          <w:color w:val="000000"/>
          <w:sz w:val="20"/>
          <w:lang w:val="en-US" w:eastAsia="en-US" w:bidi="ar-SA"/>
        </w:rPr>
        <w:t xml:space="preserve">. And, "[s]hould it turn out that those they hire to carry out work fail to do so effectively, the defendants cannot be held responsible for such as long as they acted reasonably in the circumstances": </w:t>
      </w:r>
      <w:r>
        <w:rPr>
          <w:rFonts w:ascii="arial" w:eastAsia="arial" w:hAnsi="arial" w:cs="arial"/>
          <w:i/>
          <w:color w:val="000000"/>
          <w:sz w:val="20"/>
          <w:lang w:val="en-US" w:eastAsia="en-US" w:bidi="ar-SA"/>
        </w:rPr>
        <w:t>Wright v. The Owners, Strata Plan #205</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(1996), 20 B.C.L.R. (3d) 343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at para.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presence of a problem within a strata unit standing alone does not prove liability. As stated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at para. 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[30] The defendants are not insurers. Their business, through the Strata Council, is to do all that can reasonably be done in the way of carrying out their statutory duty: and therein lies the test to be applied to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petitioners say the Strata Corporation has failed to repair and maintain the common property, as demonstrated by the results of the various inspections, reports and recommendations available to the Strata Council, beginning (at the latest) with the JDI October Report. The petitioners say further that the Strata Corporation has failed to pass a special resolution authorizing and funding remediation work sufficient to remedy the defects identified in the common property. The petitioners say that, since the Strata Corporation has failed to fulfill its statutory duties to repair and maintain the common property, and has failed to pass the appropriate special resolution, the court should make a "Tadeson" order, requiring the Strata Corporation to fulfill its statutory duties and issue a special levy to fund the work: see </w:t>
      </w:r>
      <w:r>
        <w:rPr>
          <w:rFonts w:ascii="arial" w:eastAsia="arial" w:hAnsi="arial" w:cs="arial"/>
          <w:b/>
          <w:i/>
          <w:color w:val="000000"/>
          <w:sz w:val="20"/>
          <w:lang w:val="en-US" w:eastAsia="en-US" w:bidi="ar-SA"/>
        </w:rPr>
        <w:t>Tadeson v. The Owners, Strata Plan NW 2644</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1999 CanLII 6999</w:t>
        </w:r>
      </w:hyperlink>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[1999] B.C.J. No. 3091</w:t>
        </w:r>
      </w:hyperlink>
      <w:r>
        <w:rPr>
          <w:rFonts w:ascii="arial" w:eastAsia="arial" w:hAnsi="arial" w:cs="arial"/>
          <w:color w:val="000000"/>
          <w:sz w:val="20"/>
          <w:lang w:val="en-US" w:eastAsia="en-US" w:bidi="ar-SA"/>
        </w:rPr>
        <w:t xml:space="preserve"> (S.C.), at B.C.J. paras. 12-16. The petitioners say (citing </w:t>
      </w:r>
      <w:r>
        <w:rPr>
          <w:rFonts w:ascii="arial" w:eastAsia="arial" w:hAnsi="arial" w:cs="arial"/>
          <w:b/>
          <w:i/>
          <w:color w:val="000000"/>
          <w:sz w:val="20"/>
          <w:lang w:val="en-US" w:eastAsia="en-US" w:bidi="ar-SA"/>
        </w:rPr>
        <w:t>Santos v. The Owners, Strata Plan LMS 1509</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2016 BCSC 1775</w:t>
        </w:r>
      </w:hyperlink>
      <w:r>
        <w:rPr>
          <w:rFonts w:ascii="arial" w:eastAsia="arial" w:hAnsi="arial" w:cs="arial"/>
          <w:color w:val="000000"/>
          <w:sz w:val="20"/>
          <w:lang w:val="en-US" w:eastAsia="en-US" w:bidi="ar-SA"/>
        </w:rPr>
        <w:t xml:space="preserve">, at paras. 33-40) that, although s. 108(2)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ordinarily requires a special levy to be approved by a three-quarters majority vote at a meeting of owners, the court may order that a strata corporation issue a special levy without any vote 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However, in my view, based on the principles summarized in </w:t>
      </w:r>
      <w:r>
        <w:rPr>
          <w:rFonts w:ascii="arial" w:eastAsia="arial" w:hAnsi="arial" w:cs="arial"/>
          <w:b/>
          <w:i/>
          <w:color w:val="000000"/>
          <w:sz w:val="20"/>
          <w:lang w:val="en-US" w:eastAsia="en-US" w:bidi="ar-SA"/>
        </w:rPr>
        <w:t>Leclerc</w:t>
      </w:r>
      <w:r>
        <w:rPr>
          <w:rFonts w:ascii="arial" w:eastAsia="arial" w:hAnsi="arial" w:cs="arial"/>
          <w:color w:val="000000"/>
          <w:sz w:val="20"/>
          <w:lang w:val="en-US" w:eastAsia="en-US" w:bidi="ar-SA"/>
        </w:rPr>
        <w:t xml:space="preserve"> and the history of the Strata Council's dealings with the attic problems (as reviewed above), the petitioners have failed to show that the Strata Corporation has breached its obligation to repair and maintain the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Strata Council retained JDI in late 2013 to inspect the attics. Based on the JDI October Report, the Strata Council obtained quotes to carry out necessary repairs and also for mould remediation, in particular in the seven units (including the Unit) identified as having the worst problems. In April 2014, the owners were asked to approve funding of $200,000 at a special general meeting. However, the owners decided that funding of $100,000 would be approved to address the seven worst attics, while looking for a more cost-effective solution for repairs to the remaining attics. In May 2014, armed with the quotes for work and in the light of the funding that had been approved at the special general meeting, the Strata Council chose Moleski to carry out both the repairs and mould remediation on the seven worst attics (which included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petitioners imply that Moleski was not a suitable choice because it was not a mould remediation specialist, and that the work Moleski (and later Alpine) was retained to do was limited, while a broader scope of work (more in keeping with what was described in some of the quotes received by the Strata Council in the spring of 2014) was required to address the problems that needed to be addressed. However, the obligation of the Strata Corporation is to act reasonably in the circumstances, and choosing a "good" solution, rather than the "best" solution does not render the Strata Corporation's approach unreasonable. After repairs and remediation were done by Moleski, the Strata Corporation then considered whether a more cost-effective approach could be taken with respect to repairs of the remaining attics, and decided to retain Alpine (in place of Moleski) to do that work. The petitioners have not shown that this decision, in the circumstances,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2015, the Strata Corporation, with the assistance of Medallion and JDI continued to review the effectiveness, in terms of dealing with the problems identified, of the work that had been done by Moleski and Alpine. When, on following up with Moleski and Alpine, the Strata Council was not satisfied that the problems had been appropriately addressed, it retained RDH to provide further advice and recommendations. A further special levy was sought and obtained at the special general meeting on July 27, 2016, with the owners voting unanimously in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Between October 2013 and July 2017, the Strata Corporation spent substantial sums on attic inspections, consultations, repairs, remediation and mould testing. The work recommended by RDH and carried out by Common Ground, based on the monitoring done by RDH beginning in 2017 and continuing into 2018, appears to have been effective. Based on the results of the testing done by Sterling in July and August 2018, the Strata Council made the decision that there was no need to conduct any further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petitioners say that the results of testing done by Sterling in July and August 2018 support their position that the problems - in particular, the problems with mould contamination in relation to their Unit - have not been sufficiently addressed. However, in my view, the petitioners have failed to show that the Strata Council's decision not to conduct any further remediation was unreasonable, and they have failed to show that the Strata Corporation have acted unreasonably in all the circumstances. The fact that the petitioners do not agree with the Strata Council's approach, or its conclusion that, for the time being, nothing further needs to be done in terms of remediation, does not mean that the Strata Corporation has failed in its duty to repair and maintain the common property. To paraphrase the observation of Josephson J. in </w:t>
      </w:r>
      <w:r>
        <w:rPr>
          <w:rFonts w:ascii="arial" w:eastAsia="arial" w:hAnsi="arial" w:cs="arial"/>
          <w:b/>
          <w:i/>
          <w:color w:val="000000"/>
          <w:sz w:val="20"/>
          <w:lang w:val="en-US" w:eastAsia="en-US" w:bidi="ar-SA"/>
        </w:rPr>
        <w:t>Weir v. Owners, Strata Plan NW 17</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2010 BCSC 784</w:t>
        </w:r>
      </w:hyperlink>
      <w:r>
        <w:rPr>
          <w:rFonts w:ascii="arial" w:eastAsia="arial" w:hAnsi="arial" w:cs="arial"/>
          <w:color w:val="000000"/>
          <w:sz w:val="20"/>
          <w:lang w:val="en-US" w:eastAsia="en-US" w:bidi="ar-SA"/>
        </w:rPr>
        <w:t>, at para. 31, even if it may prove to be the case that the petitioners' approach is the wiser and preferable course of action, that does not render the approach of the Strata Council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Accordingly, I find that the petitioners have failed to show that the Strata Corporation breached its obligation under s. 72(1)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to repair and maintain the common property, and have failed to show that an order under s. 165 is justified.</w:t>
      </w:r>
      <w:r>
        <w:rPr>
          <w:rFonts w:ascii="arial" w:eastAsia="arial" w:hAnsi="arial" w:cs="arial"/>
          <w:sz w:val="20"/>
          <w:lang w:val="en-US" w:eastAsia="en-US" w:bidi="ar-SA"/>
        </w:rPr>
        <w:cr/>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appointment of an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Given my conclusion that the petitioners have failed to show a breach of s. 72(1), my discussion of whether there are grounds for the appointment of an administrator will be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Section 174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provides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Appointment of administrator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174 (1) The strata corporation, or an owner, tenant, mortgagee or other person having an interest in a strata lot, may apply to the Supreme Court for the appointment of an administrator to exercise the powers and perform the duties of the strata corporation.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appoint an administrator if, in the court's opinion, the appointment of an administrator is in the best interests of the strata corporation.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 the administrator for an indefinite or set period,</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the administrator's remuneration,</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the administrator exercise or perform some or all of the powers and duties of the strata corporation, and</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relieve the strata corporation of some or all of its powers and duties.</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remuneration and expenses of the administrator must be paid by the strata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leading case setting out the factors to be considered in relation to the appointment of an administrator is </w:t>
      </w:r>
      <w:r>
        <w:rPr>
          <w:rFonts w:ascii="arial" w:eastAsia="arial" w:hAnsi="arial" w:cs="arial"/>
          <w:b/>
          <w:i/>
          <w:color w:val="000000"/>
          <w:sz w:val="20"/>
          <w:lang w:val="en-US" w:eastAsia="en-US" w:bidi="ar-SA"/>
        </w:rPr>
        <w:t>Lum et al. v. The Owners, Strata Plan VR519</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2001 BCSC 493</w:t>
        </w:r>
      </w:hyperlink>
      <w:r>
        <w:rPr>
          <w:rFonts w:ascii="arial" w:eastAsia="arial" w:hAnsi="arial" w:cs="arial"/>
          <w:color w:val="000000"/>
          <w:sz w:val="20"/>
          <w:lang w:val="en-US" w:eastAsia="en-US" w:bidi="ar-SA"/>
        </w:rPr>
        <w:t>. There, Harvey J. said, at paras. 11-12: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my view after reviewing the authority available, bearing upon this question, factors to be considered in exercising the Court's discretion whether the appointment of an administrator is in the best interests of the strata corporation include: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has been established a demonstrated inability to manage the strata corporation,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has been demonstrated substantial misconduct or mismanagement or both in relation to affairs of the strata corporation,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appointment of an administrator is necessary to bring order to the affairs of the strata corporation,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a struggle within the strata corporation among competing groups such as to impede or prevent proper governance of the strata corporation,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only the appointment of an administrator has any reasonable prospect of bringing to order the affairs of the strata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there is always to be considered the problem presented by the costs of involvement of an administrator.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 also take into consideration the comments of Huddart, J. in </w:t>
      </w:r>
      <w:r>
        <w:rPr>
          <w:rFonts w:ascii="arial" w:eastAsia="arial" w:hAnsi="arial" w:cs="arial"/>
          <w:b/>
          <w:i/>
          <w:color w:val="000000"/>
          <w:sz w:val="20"/>
          <w:lang w:val="en-US" w:eastAsia="en-US" w:bidi="ar-SA"/>
        </w:rPr>
        <w:t>Cook</w:t>
      </w:r>
      <w:r>
        <w:rPr>
          <w:rFonts w:ascii="arial" w:eastAsia="arial" w:hAnsi="arial" w:cs="arial"/>
          <w:color w:val="000000"/>
          <w:sz w:val="20"/>
          <w:lang w:val="en-US" w:eastAsia="en-US" w:bidi="ar-SA"/>
        </w:rPr>
        <w:t>, supra, that the democratic government of the strata community should not be overridden by the Court except where absolutely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petitioners have failed to show a demonstrated inability to manage the Strata Corporation, and have failed to show that the appointment of an administrator is necessary to bring order to the affairs of the Strata Corporation. On the contrary, the evidentiary record shows that the members of the Strata Council worked diligently and conscientiously to deal with difficult issues. The petitioners have failed to show evidence of a "struggle" among competing groups within the Strata Corporation such as to impede or prevent proper governance. On the evidentiary record, the Unit was not the only unit with significant problems in its attic, although it was one of the worst. However, the petitioners appear to be the lone complainants. Moreover, the owners demonstrated strong support for funding of necessary work (based on the results of the special general meetings), and voted unanimously (with no abstentions) in favour of the special levy at the July 2016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is a further problem with this part of the relief requested by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petitioners propose the appointment of Mr. Boon Sim as administrator. Ms. Yamagata says that she has communicated (through her counsel) with Mr. Sim at Sutton Select Property Management, which she describes as a "managing broker who has direct experience as an administrator" under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"where a strata corporation has breached its duty to repair." Ms. Yamagata says further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court determines that it is in the best interests of the Strata to appoint an administrator, Mr. Sim has agreed to act as administrator on the terms requested in Part 1 of the Petition . . . , at a rate of $225/hour.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no affidavit from Mr. Sim. Other than what Ms. Yamagata says in her affidavit (and the source of her information is not clearly stated), there is no evidence before the court of Mr. Sim's qualifications or experience that might make him a suitable candidate to act as administrator. There is no evidence of what Mr. Sim would do for $225 an hour. Even if the appointment of an administrator might be appropriate, there is little in the evidence based on which the court could come to a reasoned decision about whether Mr. Sim should be appointed.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petitioners' request for the appointment of an administrator (and ancillary relief) is refused.</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Continuation of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petitioners seek an order under s. 165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that the Strata Corporation (or the administrator if appointed) continue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Pursuant to s. 171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a strata corporation may sue as representative of all owners. The section provides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Strata corporation may sue as representative of all owners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171 (1) The strata corporation may sue as representative of all owners, except any who are being sued, about any matter affecting the strata corporation, including any of the following matters: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property or common assets;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or enjoyment of a strata lot;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strata corporation sues under this section, the suit must be authorized by a resolution passed by a 3/4 vote at an annual or special general meeting.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3/4 vote referred to in subsection (2), a person being sued is not an eligible voter.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owners, except any being sued, must contribute to the expense of suing under this section.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petitioners say that they commenced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to obtain compensation for damages caused to them as owners of strata property,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seeks damages arising from property damage to the Unit's attic, which is common property. The petitioners say that the damages claimed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arose as a result of the Strata Corporation's failure to maintain the common property, as required by s. 72. They say that an order that the Strata Corporation continue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is necessary to adequately compensate the owners for the damages resulting from the Strata Corporation's failure to comply with s. 72. The petitioners say that an order whereby the Strata Corporation continues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would allow the owners to be fairly compensated jointly by the responsible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Strata Corporation says that s. 165(c) is not available as a legal basis to grant the relief sought because the petitioners have failed to establish a breach of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The Strata Corporation says further that, even if s. 165(c) were available to the petitioners, the requirements of s. 171(2) should not be overridden, since continuing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does not result in the Strata Corporation no longer (allegedly) contravening the </w:t>
      </w:r>
      <w:r>
        <w:rPr>
          <w:rFonts w:ascii="arial" w:eastAsia="arial" w:hAnsi="arial" w:cs="arial"/>
          <w:b/>
          <w:i/>
          <w:color w:val="000000"/>
          <w:sz w:val="20"/>
          <w:lang w:val="en-US" w:eastAsia="en-US" w:bidi="ar-SA"/>
        </w:rPr>
        <w:t>SPA</w:t>
      </w:r>
      <w:r>
        <w:rPr>
          <w:rFonts w:ascii="arial" w:eastAsia="arial" w:hAnsi="arial" w:cs="arial"/>
          <w:color w:val="000000"/>
          <w:sz w:val="20"/>
          <w:lang w:val="en-US" w:eastAsia="en-US" w:bidi="ar-SA"/>
        </w:rPr>
        <w:t xml:space="preserve">. The Strata Corporation says in addition that continuing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will not compensate the owners, since they are not plaintiffs in the Action, and any continuation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would be solely on behalf of the petitioners as plaintiffs. The Strata Corporation says that any "new" claim by the Strata Corporation on behalf of all owners would in any event be barred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(a proposition the petitioners dispute). The Strata Corporation also says that there are no allegations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on the part of Bayside, and, based on the agency agreement, if the Strata Corporation were to continue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it would be suing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It is unnecessary for me to express any opinion on the limitation issue, and I decline to do so. However, since I have concluded that the petitioners have failed to demonstrate a breach by the Strata Corporation of its obligation to repair and maintain the common property, and given the other problems identified by the Strata Corporation in making the order sought respecting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 find that the petitioners have not established that this relief can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summary, the petition is dismissed, with costs to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0"/>
          <w:headerReference w:type="default" r:id="rId971"/>
          <w:footerReference w:type="even" r:id="rId972"/>
          <w:footerReference w:type="default" r:id="rId973"/>
          <w:headerReference w:type="first" r:id="rId974"/>
          <w:footerReference w:type="first" r:id="rId9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6" w:history="1">
        <w:r>
          <w:rPr>
            <w:rFonts w:ascii="arial" w:eastAsia="arial" w:hAnsi="arial" w:cs="arial"/>
            <w:b/>
            <w:bCs/>
            <w:i/>
            <w:color w:val="0077CC"/>
            <w:kern w:val="32"/>
            <w:sz w:val="28"/>
            <w:szCs w:val="32"/>
            <w:u w:val="single"/>
            <w:shd w:val="clear" w:color="auto" w:fill="FFFFFF"/>
            <w:lang w:val="en-US" w:eastAsia="en-US" w:bidi="ar-SA"/>
          </w:rPr>
          <w:t>Animal Welfare International Inc. v. W3 International Media Ltd., [2014] B.C.J. No. 2442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25-28, March 1, 4-8, 11-13,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 18-22, 25-26, April 10-12,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16-18, July 2-5, 8-12, September 9-12,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9-12, 2013;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February 3, 14 and April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S093691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2442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1839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Animal Welfare International Inc., Plaintiff, and W3 International Media Ltd., Defendant (Plaintiff by Counterclaim), and Animal Welfare International Inc., Natale Mark Perissinotto, Steven Perissinotto, Global Dispatch Services Pty. Ltd., Pet Supplies (U.S.A.) Inc., VetshopAustralia Pty. Ltd., Ani Welf Int Pty. Ltd. and Pavillion International Ltd., Defendants by Counterclaim, and Pet Supplies (U.S.A.) Inc. and Pavillion International Ltd., Plaintiffs by Counterclaim, and W3 International Media Ltd.,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44"/>
      <w:bookmarkEnd w:id="285"/>
      <w:r>
        <w:rPr>
          <w:rFonts w:ascii="arial" w:eastAsia="arial" w:hAnsi="arial" w:cs="arial"/>
          <w:b/>
          <w:color w:val="000000"/>
          <w:sz w:val="20"/>
          <w:lang w:val="en-US" w:eastAsia="en-US" w:bidi="ar-SA"/>
        </w:rPr>
        <w:t>Contracts — Remedies — Damages — Loss of profit — Economic loss — Action by AWI, Pavillion and Pet Supplies against W3 for damages for breach of contract and breach of copyright allowed — Counterclaim by W3 for damages for misrepresentation and conspiracy dismissed — Parties were involved in retail pet supply website venture — Disagreements over calculation of revenues, expenses, and currency differentials resulted in termination of relationship and protracted litigation — W3 operated competing website post-termination — AWI awarded $251,809 for accounting, $20,000 for wrongful retention of customer list, $236,666 for lost profits, which subsumed damages for breach of trademark or passing off, and $20,000 for breach of copyright.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In contract — Breach of contract — Loss of business opportunity — Loss of profits — Action by AWI, Pavillion and Pet Supplies against W3 for damages for breach of contract and breach of copyright allowed — Counterclaim by W3 for damages for misrepresentation and conspiracy dismissed — Parties were involved in retail pet supply website venture — Disagreements over calculation of revenues, expenses, and currency differentials resulted in termination of relationship and protracted litigation — W3 operated competing website post-termination — AWI awarded $251,809 for accounting, $20,000 for wrongful retention of customer list, $236,666 for lost profits, which subsumed damages for breach of trademark or passing off, and $20,000 for breach of copyright.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Intellectual property law — Copyright — Remedies — Damages — Statutory — Accounting of profits — Action by AWI, Pavillion and Pet Supplies against W3 for damages for breach of contract and breach of copyright allowed — Counterclaim by W3 for damages for misrepresentation and conspiracy dismissed — Parties were involved in retail pet supply website venture — Disagreements over calculation of revenues, expenses, and currency differentials resulted in termination of relationship and protracted litigation — W3 operated competing website post-termination — AWI awarded $251,809 for accounting, $20,000 for wrongful retention of customer list, $236,666 for lost profits, which subsumed damages for breach of trademark or passing off, and $20,000 for breach of copyright.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41"/>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and counterclaim involving AWI, Pavillion International, Pet Supplies Incorporated, W3 International Media, and the Perissinotto brothers and their companies for damages for fraudulent and negligent misrepresentation, breach of contract, breach of copyright, and conspiracy. The parties made a series of interlocking claims and counterclaims arising from failed business relationships between several international corporations, their Australian principals, and a Vancouver web-hosting provider. The parties intended to run certain retail websites selling pet supplies to North American customers, with purchases transacted in US Dollars. The websites experienced significant difficulties, funds were misappropriated, and ultimately the business relationships disintegrated into protracted litigation. W3 alleged the Perissinotto brothers misrepresented costs of goods and shipping underlying the parties' profit sharing agreement. AWI and W3 each claimed breaches of the profit sharing agreement regarding allocation of costs, revenues and currency differentials, and with respect to W3's post-termination conduct in operating a similar website.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3"/>
            <w:bookmarkEnd w:id="287"/>
            <w:r>
              <w:rPr>
                <w:rFonts w:ascii="arial" w:eastAsia="arial" w:hAnsi="arial" w:cs="arial"/>
                <w:color w:val="000000"/>
                <w:sz w:val="20"/>
                <w:lang w:val="en-US" w:eastAsia="en-US" w:bidi="ar-SA"/>
              </w:rPr>
              <w:t>HELD: Action allowed and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Perissinotto brothers were credible witnesses. Their testimony was generally consistent with the documentary evidence and was reliable. It was not plausible that the brothers would fundamentally misrepresent their business intentions to the extent alleged by W3. Their intent was to operate the website consistent with their established practices. W3's claim of fraudulent or negligent misrepresentation was not available as a defence to breach of contract. W3 was unable to establish the existence of an unlawful conspiracy. The proper construction of the profit sharing agreement was in accordance with AWI's interpretation based on the whole of the agreement. AWI was entitled to issue a notice to W3 to rectify its breach of the agreement and to subsequently terminate the agreement. AWI was entitled to recover damages to compensate for the opportunity to make profits as a consequence of W3's wrongful acts, including retaining the customer list, setting up a competing website using the intellectual property of AWI, and making deceptive statements to customers. AWI was awarded $251,809 for an accounting to April 2009, $20,000 for the wrongful retention of its customer list, $236,666 for lost profits, which subsumed any damages for breach of trademark or passing off, and $20,000 for breach of copyright. Pavillion was awarded $10,000 for the wrongful retention of its customer list, and $10,000 for lost profit opportunity, payable by W3. Pet Supplies was awarded $3,000 for replacement of its toll-free number, payable by W3. W3 was awarded $8,048 for amounts owed on invoices. All other claims and counterclaims were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21"/>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8"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Copyright Act, </w:t>
      </w:r>
      <w:hyperlink r:id="rId977" w:history="1">
        <w:r>
          <w:rPr>
            <w:rFonts w:ascii="arial" w:eastAsia="arial" w:hAnsi="arial" w:cs="arial"/>
            <w:i/>
            <w:color w:val="0077CC"/>
            <w:sz w:val="20"/>
            <w:u w:val="single"/>
            <w:shd w:val="clear" w:color="auto" w:fill="FFFFFF"/>
            <w:lang w:val="en-US" w:eastAsia="en-US" w:bidi="ar-SA"/>
          </w:rPr>
          <w:t>R.S.C. 1985, c. C-42, s. 3</w:t>
        </w:r>
      </w:hyperlink>
      <w:r>
        <w:rPr>
          <w:rFonts w:ascii="arial" w:eastAsia="arial" w:hAnsi="arial" w:cs="arial"/>
          <w:color w:val="000000"/>
          <w:sz w:val="20"/>
          <w:lang w:val="en-US" w:eastAsia="en-US" w:bidi="ar-SA"/>
        </w:rPr>
        <w:t>(1), s. 13(1), s. 13(3), s. 27(1), s. 34(1), s. 35(1), s. 38.1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Foreign Money Claims Act, </w:t>
      </w:r>
      <w:r>
        <w:rPr>
          <w:rFonts w:ascii="arial" w:eastAsia="arial" w:hAnsi="arial" w:cs="arial"/>
          <w:i/>
          <w:color w:val="000000"/>
          <w:sz w:val="20"/>
          <w:lang w:val="en-US" w:eastAsia="en-US" w:bidi="ar-SA"/>
        </w:rPr>
        <w:t>RSBC 1996, CHAPTER 155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Trade-marks Act, </w:t>
      </w:r>
      <w:hyperlink r:id="rId978" w:history="1">
        <w:r>
          <w:rPr>
            <w:rFonts w:ascii="arial" w:eastAsia="arial" w:hAnsi="arial" w:cs="arial"/>
            <w:i/>
            <w:color w:val="0077CC"/>
            <w:sz w:val="20"/>
            <w:u w:val="single"/>
            <w:shd w:val="clear" w:color="auto" w:fill="FFFFFF"/>
            <w:lang w:val="en-US" w:eastAsia="en-US" w:bidi="ar-SA"/>
          </w:rPr>
          <w:t>R.S.C. 1985, c. T-13, s. 2</w:t>
        </w:r>
      </w:hyperlink>
      <w:r>
        <w:rPr>
          <w:rFonts w:ascii="arial" w:eastAsia="arial" w:hAnsi="arial" w:cs="arial"/>
          <w:color w:val="000000"/>
          <w:sz w:val="20"/>
          <w:lang w:val="en-US" w:eastAsia="en-US" w:bidi="ar-SA"/>
        </w:rPr>
        <w:t>, s. 4(2), s. 6, s. 6(2), s. 7(b), s. 53.2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9" w:name="Counsel_45"/>
      <w:bookmarkEnd w:id="2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9"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Animal Welfare International Inc., Natale Mark Perissinotto, Steven Perissinotto, Global Dispatch Services Pty. Ltd., Pet Supplies (U.S.A.) Inc., VetshopAustralia Pty. Ltd., Ani Welf Int Pty. Ltd. and Pavillion International Ltd.: Robert A. Millar.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W3 International Media Ltd.: Michael G. Armstrong, Q.C., Christopher J. Bolan, James P. O'Flynn.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5"/>
      <w:bookmarkEnd w:id="290"/>
      <w:r>
        <w:pict>
          <v:line id="_x0000_s1240"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1" type="#_x0000_t75" style="width:402.06pt;height:586.58pt">
            <v:imagedata r:id="rId979" o:title=""/>
          </v:shape>
        </w:pict>
      </w:r>
      <w:r>
        <w:rPr>
          <w:rFonts w:ascii="arial" w:eastAsia="arial" w:hAnsi="arial" w:cs="arial"/>
          <w:sz w:val="20"/>
          <w:lang w:val="en-US" w:eastAsia="en-US" w:bidi="ar-SA"/>
        </w:rPr>
        <w:t xml:space="preserve">  </w:t>
      </w:r>
      <w:r>
        <w:pict>
          <v:shape id="_x0000_i1242" type="#_x0000_t75" style="width:423.75pt;height:249.75pt">
            <v:imagedata r:id="rId980" o:title=""/>
          </v:shape>
        </w:pic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C.J. ROSS J."/>
            <w:bookmarkEnd w:id="291"/>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involves a series of interlocking claims and counterclaims arising from the failed business relationships between several international corporations, their Australian principals, and a Vancouver webhosting provider, as well as its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intended to run certain retail websites selling pet supplies to North American customers, with purchases transacted in US Dollars ("USD"). However, operations did not go smoothly. The websites experienced significant difficulties, funds were misappropriated, and ultimately the relationships disintegrated. The litigation that has resulted from this breakdown has been lengthy and protracted, with six decisions relating to its various issues having already been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Steven and Mark Perissinotto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Steven Perissinotto ("Steven") and Mark Perissinotto ("Mark") are brothers. Collectively, I will refer to them as the "Perissinottos". They are and were the directors and officers of Animal Welfare International Inc. ("AWI"), Pet Supplies (U.S.A.) Inc. ("Pet Supplies"), and Pavillion International Ltd. ("Pavillion") at all times material to the business and the litigation affecting these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Steven and Mark are also directors and officers of three other named parties in these proceedings. The first two, Global Dispatch Services Pty. Ltd. ("GDS") and VetshopAustralia Pty. Ltd. ("VetshopAustralia"), are Australian corporations which supply products to retail customers of websites and, in the case of VetshopAustralia, operate certain websites in Australia. The third, Ani Welf Int Pty. Ltd. ("Ani Welf"), was joined as it became the assignee and registrant of the URL for the website CanadaVet.com ("CVT") after this litigation started. Steven and Mark are directors of Ani Welf.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AWI is a company incorporated in the British Virgin Islands ("BVI"). As noted, Steven and Mark Perissinotto are its officers and directors. The shares of the corporation are owned 50% by Lokki Pty. Ltd. ("Lokki") and 50% by Perissinotto Pty. Ltd. ("PPL") (companies associated with Steven's and Mark's families). AWI operated the CVT website. W3 International Media Ltd. ("W3") hosted the CVT website from its inception in August 2005 until April 2009 pursuant to a profit sharing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Pavillion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Pavillion was incorporated in Malta and its sole shareholder was Pet Supplies International Ltd., the shares of which corporation were owned 40% by PPL, 40% by Lokki, and 20% by Vasant Kumar. Pavillion's directors were Mark and Steven Perissinotto.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Pavillion operated the website CanadaVetDirect.com ("CVD"). W3 provided hosting services for the website from its inception in May 2007 to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Pet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Pet Supplies is a company incorporated in the BVI. Steven and Mark are its officers and directors. It is owned 40% by Lokki, 40% by PPL and 20% by Vasant Kumar.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Pet Supplies operated the website vetshoponline.com ("VSO"). W3 provided hosting services for the website from June 2007 to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W3 was founded in 1997 by Myfanwy Wong. Ms. Wong was born in Hong Kong and came to Canada at age 9. She obtained a BSc from the University of Alberta majoring in physics and mathematics, followed by a business degree during which she took computing courses including basic programming. She stated that she has a basic understanding of programing and the management of information systems in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W3 provides products and services for organizations with a presence on the internet, including website design, domain registration, website hosting, and software development and programming. Ms. Wong testified that W3 owns proprietary software for the design and operation of retail websites. This "shopping cart" code and program has received certification pursuant to the TrustKeeper SSL Certification process and pursuant to McAfee's certification process known as Hacker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Pre-2005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Steven and Mark first ventured into the online retail market in or about 1999. When the brothers decided to start a retail website, Steven was in active practice as a solicitor admitted to the Supreme Court of Queensland and High Court of Australia, while Mark operated a public veterinary practice on the outskirts of Brisbane, Queensland,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website was VSO, which had its beginnings in the basement of Mark's veterinary practice where the first warehouse was located for products to be shipped worldwide. The business was later divided into VetshopAustralia, which focused on Australian business and VSO, which focused on the North American market. VSO was subsequently transferred to AWI in 2002 as part of a corporate re-organization.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Pivotal Partner Inc. ("Pivotal") was a Vancouver-based online retailer specializing in human pharmaceuticals, which focused on providing products to American customers. Ms. Wong testified that in late 2001, Pivotal approached W3 to create a shopping cart program for its website CanadaPharmacy.com. Ms. Wong stated that W3 developed the program and granted a licence to Pivotal to use the program on its website. W3 hosted several websites that Pivotal operated. Pivotal was interested in expanding its online retail business into the animal health and pet supply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Vasant Kumar, then an employee of Pivotal, approached the Perissinottos in 2003 on behalf of Pivotal to negotiate a contract with VetshopAustralia for the supply of pet products to Pivotal customers. This contractual arrangement was finalized and VetshopAustralia became Pivotal's supplier for pet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2004, AWI entered into a service agreement with Pivotal by which Pivotal agreed to provide hosting services for VSO. Pivotal was also to supply a merchant account and banking services for VSO through a bank account that Pivotal set up in Seattle, Washington. The hosting services were actually provided by W3, on behalf of Pivotal; however, the contractual arrangements for the hosting were between AWI and Pivotal.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Pivotal suggested that VSO should use the same shopping cart program as Pivotal. In 2004, pursuant to an agreement with Pivotal, VSO migrated to the shopping cart program that W3 had developed for Pivotal. At this time, VSO was hosted on servers provided by W3. W3 provided support services to VSO. AWI did not pay W3 any licence fee for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Mark testified that during this period he dealt virtually exclusively with Wayne Vo of W3 in relation to the operations of VSO. Mr. Vo was a programmer employed by W3. Mark testified that the practice in regards to VSO's pricing regime during the period when it was hosted by W3 prior to 2005 was that he would prepare cost of goods lists and deliver them to Mr. Vo, who would then upload them into the database. Mr. Vo was also responsible for all programming changes to VSO during this period. Another W3 employee, Mr. Ben Koshi, was also involved to a lesser extent. Ms. Wong stated that she was not directly involved with this work in relation to VSO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Mark testified about the process he employed in developing a cost of goods list for VSO. He stated that he developed a price list in Australian dollars ("AUD"), taking into account a number of different factors. He would take into account the fact that products were being purchased from different suppliers, who charged different prices and supplied different amounts of product. He would also factor in any known price increases that were expected in the next six to nine months. He would then convert the AUD price into a USD price using a conversion rate that he believed would be robust enough to take into account variation in exchange rates over the next few months. Then, from the USD cost he would develop a retail price denominated in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spring of 2005, Pivotal representatives told AWI that it had decided to take hosting in-house and was no longer going to use the hosting services of W3. AWI agreed to transfer VSO to Pivotal's servers, with Pivotal agreeing it would host and support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2005, the Perissinottos made plans to develop a new website selling pet supplies targeting the United States market, the purpose of which was to increase their market share. That website became CVT. They decided to approach W3 to discuss the project because they had formed the view, primarily through working with Mr. Vo, that W3 personnel were competent. They believed that W3 had the necessary hosting capacity and might be interested in participating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Steven, writing as VSO, sent an email dated March 30, 2005 to Wayne Vo asking if W3 would be interested in doing some work for them directly. Ms. Wong testified that Mr. Vo brought the email to her attention and she instructed him to reply in the affirmative. Mr. Vo replied by email dated March 31, 2005, and stated that W3 was available and interested in working with VSO and possibly establishing a partnership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Steven replied by email dated April 3, 2005, stating that the plan was to launch a new brand. He stated that they were thinking of an arrangement in which W3 would look after web design, backend design and maintenance, and website promotion, while the Perissinottos' company would attend to product procurement, order fulfillment and customer service. The backend is the administration area from which one can view order and customer details, print orders, refer to order information to answer customer questions, and take such other steps necessary to administer an online retail business. He suggested the parties could arrange "some sort of profit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Vo replied on April 5, 2005 indicating interest, requesting a more detailed proposal and suggesting a conference call to discuss the plan in greater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 informal document entitled CVT Proposal was provided to W3. The document set out a general business plan for CVT. Ms. Wong stated that she was interested in the notion of a profit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conference call was then held on April 12, 2005 between the Perissinottos, Ms. Wong, Mr. Vo and Mr. Koshi. The participants discussed the project in generalities, what each participant would bring to the table and the possibility of opportunities in other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second conference call involving the same participants was organized for April 19, 2005, although Mr. Vo and Mr. Koshi may not have been in attendance for the entirety of the call. The evidence of the Perissinottos sharply contradicts Ms. Wong's with respect to the contents of this second conference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Mark's evidence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About a week later there was another phone call, this time was with Wayne Vo and Myfanwy Wong, Steven and myself, where we went into a little bit more detail as to how we saw this project going ahead. I went into a little bit more detail about the cost of goods and how I would establish the cost of goods, explained again that we sourced product from a number of different suppliers at different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also spoke that because we were transacting in U.S. dollars, that that would be the most appropriate currency to use in the project. I explained the -- why [indiscernible] established the cost price with those factors of different places, and that I would convert that to U.S. dollars for the purpose of this project. I explained that because the dollar does vary from a second by second basis, the exchange rate, that I would calculate the cost of price -- the cost of goods prices in U.S. dollars, taking into account -- that the need to take into account the fluctuations in the exchange 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also talked about the length of time that price list might stay in the back end, which was to be around six months, sometimes shorter, sometimes longer.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we talked about the retail pricing, how I would determine that, and that we had done in the past a fixed mark up. Some products we could mark up higher, and some less, but that, in my view, the retail pricing was sufficient to make a good margin and that we could use that margin to pay our expenses out of, particularly advertising expenses and other expenses, and that we would have a good profit left over to split.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Wayne Vo asked me if there would be a margin on the cost of goods for overheads or for labour, and I said no, that we would be carrying those costs as part of what we were bringing, you know, to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said that I would send a price list across so that they could have a look at it and get an idea as to what I was explaining.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with whom were you having the bulk of your discussions in terms of the commercial terms?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mostly Wayne Vo and myself in that second conversation that did most of the talking.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have discussions about shipping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had explained previously the way our warehouse operated, and I proposed that the most appropriate way to work out a shipping cost would be a fixed fee. I don't recall a figure actually being mentioned at that time, but we had explained that our warehousing facility back there supplied product for our own websites, VetshopAustralia.com.au and VSO.com, and also for the Pivotal websites, and that the project would benefit by amalgamating all the shipping and having the benefit of the volumes that we were sending out. So the economies of scales, I suppose.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Steven's evidence was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Mark testified that at the time they approached W3, W3 already had knowledge of the intended business model from the services it provided to VSO. It was his evidence that early in the conversations it was outlined to W3 how the cost of goods would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Wong stated that Steve confirmed that the profit share proposed was a 50/50 split. She said that she was very happy that would be the arrangement. Ms. Wong stated that her second major question was how the profit share would be calculated. She also stated that as cost was a major portion of the project, she wanted to know exactly how cost would be determined. Specifically, she wanted to know whether the cost would be with or without markup. She stated that the reply from one of the brothers was that "it's got to be the cost from the supplier without markups".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Wong stated that she then asked the Perissinottos "who would your supplier be - could it be Mark's clinic or one of your other companies or a company owned by a relative?" She stated that Mark replied "you can't have profit share without trust. You have to have trust in order to start the project. You can't go anywhere without trust. It will be cost with no markup from external suppliers." Ms. Wong stated that she felt very comfortable with that assurance. She understood external suppliers to be unrelated wholesalers operating at arm's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Wong denied that there was any discussion during the conference calls relating to foreign currency issues. She stated that there was no discussion about price fluctuation. She denied that there was any discussion about weighing factors to establish the cost of products or any discussion about how costs would be documented or monitored. Ms. Wong agreed that in 2005 she did not know how VSO operated regarding the recording of cost of goods, but acknowledged that Mr. Vo and Mr. Koshi would have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Wong also suggested that there was a discussion about a subsequent review of the calculations relating to cost, shipping and foreign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Marcellus Wong is Ms. Wong's brother. Mr. Wong was, at the relevant times, employed by W3. Mr. Wong testified that he recalled a conference call but stated that he was in and out of it. He had no recollection of a discussion concerning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Steven and Mark each deny that there was any discussion as alleged by Ms. Wong. Mark denied making the statements ascribed to him by Ms. Wong. He denied stating that for the agreement to work there must be trust or that costs would be determined without any markups.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Steven denied that he ever represented, during the negotiations, that they would provide an accounting function. In addition, the Perissinottos both testified that they would never have agreed to an arrangement in which the cost would be the actual cost of each item due to the complexity of their business model and the fact that they had no practical means to utilize such a pricing process given the way their business was organized. Their evidence was that the idea of a subsequent recalculation was not discussed and that they would never have agreed to such an exercise, as it would have been both impracticable and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Following the conference calls, the parties agreed to move forward. In late May 2005, the parties' specific contributions to the business were negotiated. It was agreed that the overhead costs of each party would operate to cancel each other out and would not be charged to the projects. It was agreed that W3's contributions to the project would include waiver of the initial and monthly licence fee for the enterprise resource planning ("ERP") software, initial design work and ongoing marketing campaign support. The Perissinottos, on behalf of AWI, stated their contributions were identification of the best products to sell, procurement, warehousing, packaging and shipping of products, order management, the provision of veterinary advice to website patrons, and support for W3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AWI provided sales and expense metrics, including retail margins for VSO for the previous month, as an indication of the profitability of the proposed business. Ms. Wong requested an initial commitment period of 18 to 24 months. Steven agreed to a period of 18 months. At this point, the parties were targeting June 10, 2005 as the goal to have the site up and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same time, AWI inquired as to the likelihood of a BVI corporation being able to open a Canadian USD bank account to save the parties the cost of incorporating a Canadian corporation to act only as a flow-through entity. Ms. Wong acknowledged that she approached her bank to attempt to obtain a bank account for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Mark sent over to W3 what he described as the proposed price list and product descriptions by email dated on May 29, 2005. The price list detailed the cost in AUD and USD and the steps taken in converting that cost to the retail price ultimately charged to the customer. The actual exchange rate was displayed in the top line of the spreadsheet, as was the forward-looking exchange rate Mark had used to estimate the currency exchange trend. The exchange rate used by Mark to convert to the USD wholesale cost to the project was clearly displayed in the first price list as being 0.85 at a time when the rate was about 0.78.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 issue was raised by W3 with the price list, the exchange rate selected or the method of calculation of the wholesale and retail price. No additional inquiries were made regarding methodology or price influencing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AWI's position was that the document was provided to W3 for its review and approval. Mark testified that it was his expectation that W3 would review the document and, if they had issues with it, contact him, or if they were happy, upload it into the backend of the site. He stated that W3 made no comment about the price list and never expressed an inability to review it. Steven's evidence was to the same effect; that the price list was forwarded for two purposes - W3's acceptance and if accepted, uploading into the backend.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Wong's evidence was that the document was not a price list at all, but rather that Mark told her that it was an illustration of what profits might be expected if the project was to proceed. Ms. Wong stated that she had a telephone conversation with Mark before he sent the email in which he told her that he wanted to show what the project could achieve with AWI's positioning in comparison to the competition. She said that he asked her to look at the columns with competitors in relation to where he saw the joint venture going. Ms. Wong stated that she did not recall any discussion concerning the exchange rate. She did understand "act" to stand for actual, meaning the actual exchange rate at that time, which was listed in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Mark denied Ms. Wong's version of the conversation. It was his evidence that he did not say the purpose was illustrative. He did not agree with Ms. Wong's suggestion that the purpose was not to show what the actual prices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Wong testified that the database was designed to include a currency converter function which would require the input of appropriate data. The input could have been done by either W3 or AWI. She stated that it was her expectation that AWI would take care of this because cost was in their area of responsibility. She stated that W3 expected that AWI would update the exchange rate whenever they deemed it appropriate. However, she later stated that she expected that foreign currency exchange would be one of the tasks assigned to the accountants to be dealt with during the course of the yearly reconciliation. However, there is no reference in any of the emails between the parties to any such function or discussion. She stated that no one at W3 entered foreign exchange conversion data into the backend.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testified that after she heard Mark's testimony, she did an analysis of the effective AUD/USD exchange and that the results showed there was no single exchange factor applied consistently. However, no such analysis was put to Mark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appears that W3 uploaded the price list document to the CVT backend in anticipation of the website going live. Further price lists were provided to W3 by emails dated July 7, 2005 and September 21,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May and June, there was a series of email exchanges concerning the process for setting up the merchant bank account. Through June, there was continued discussion surrounding the terms of the formal agreement between the parties and the project was progressing at a slow, though steady, pace. W3 eventually informed AWI that the merchant bank processors would only set up an account for a Canadian company. W3 procured a USD account at the Bank of Montreal with whom it had an existing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account agreement was initially premised on AWI obtaining joint signing authority over the account. However, that never came to pass because W3 informed AWI that the bank told them that it had no way to isolate one W3 account balance from another. That meant that whoever had access to the online banking profile had access to all W3 account balances. Ms. Wong advised that she was not comfortable with that arrangement; that said, she would have no problem sending the monthly statements issued by the bank for the account pertaining to CVT. In fact, however, she did not provide any bank statements to AWI at all until much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June 16, 2005, the first mock-up of CVT was sent to the Perissinottos for approval and the applications had been sent through to obtain the merchant credit card using the BMO account procured by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June 22, 2005, the first draft of the agreement between the parties (the "Profit Sharing Agreement") was sent to W3 for its review, input and approval. No agreement was signed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June 30, 2005, Mr. Vo sent an email to the Perissinottos stating that to speed up the process of uploading the products, he "ran a script to grab most of the products from [VSO]." Mark testified that it was his understanding that W3 still had a copy of the VSO database on its servers at that time. Ms. Wong's evidence was that at that time, W3 did not have access to the VSO backend and did not have knowledge of VSO's wholesale product costs. However, that evidence appears to be inconsistent with what Mr. Vo advised Mark in his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Wong testified that during the summer of 2005, there was discussion about a reconciliation process concerning costs and profits. It was her evidence that the plan, at first, was to have monthly reconciliations involving costs and profit. She stated that the parties later agreed to conduct yearly reconciliations involving a review, conducted by accountants, of the invoices for all expense items including goods and shipping. She said that the parties agreed to keep invoices set aside for this purpose. She stated that these discussions occurred during telephone conversations that occurred in the summer of 2005 with both the Perissinottos.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Mark testified that as at the end of August 2005, just before the website became operational, he understood that the agreement between AWI and W3 was that AWI would provide a price list with two prices denominated in USD. One was the cost price that Mark had calculated, and the other was the retail price to be paid by the customer. He would provide the list to W3, they would review it and if they were happy with it, they would upload it into the backend of the site. There was to be no subsequent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website became operational in August 2005. It proved to be profitable from its first month. W3 prepared monthly reconciliations derived from the database which were provided to AWI and used to calculate the profit to be shared and expenses to be reimbursed. Ms. Wong forwarded funds to AWI based upon these monthly reconciliations.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was an email exchange in September in which W3 made inquiries with respect to shipping costs. Mark responded that shipping would be a flat rate of US $5 per order. He stated in an email dated September 21,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shipping costs go it is hard for us to work out costs for each parcel shipped as they are grouped in with all the other orders. As mentioned before we have worked out that the average price for all parcels shipped to the US costs US$5 per order. This includes packaging materials and postage costs (first class air mail which is the fastest). Of course heavier parcels cost more, lighter ones less, boxes more than padded bags etc but it all averages out at this price. If you could just use this price to work out the shipping costs for the orders shipped out each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figure of US $5 was then used as the method for the calculation of the shipping expense to be paid to AWI until March 2007, when it was changed at Mark's request to $5.85, and then again in September 2007 to $6.25.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Mark testified that he calculated the $5 figure by looking at the amounts spent on overseas shipments and the number of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same email contains the following reference to currency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banking into our Canadian HSBC account that is fine for now. If we need to change this I will let you know. As we are working everything out in US dollars can you make the payment into the US$ account please. Are you then able to give us a breakdown of the settlement, including your costs, advertising costs, product costs, shipping costs etc and profit left over which is then distributed to yourselves and us, so that we have a reconciliation at least monthly.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November 2005, Mark travelled to Vancouver and met with Ms. Wong. They discussed setting up a call centre. Mark provided Ms. Wong with banking details for GDS, explained that it was the company that ran the warehouse and asked her to start remitting the funds to GDS.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Wong testified that she believes that they discussed reconciliations and decided that perhaps they would do yearly reconciliations at year end in December. She stated that the first year would be too early to implement an annual review, so the first annual reconciliation would occur at the end of 2006 after a full year of operations. Mark denied that there was any such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By December 31, 2005, revenues for the first five months of operations, as reflected in the reconciliations prepared by W3, were $539,767.00. Profits earned by W3 and AWI for December 2005 were $8,729.18.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position of the Perissinottos was that there had been no mention at any time of a review or recalculation of the cost of goods or shipping fees up to this time, and no supporting information for the cost of goods or shipping fees had been requested. No requests or references are contained in the documents. W3 had not provided any supporting information or calculations regarding advertising or expenses it had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January 2006, the creation of a call centre for CVT was underway and a toll-free number had been placed on the order summaries and invoices provided to customers. In an email sent on or around January 10, 2006, W3 proposed the cost for running the call centre be set at $500.00 per month as an expense of the project to be reimbursed from revenue. The email stated that "we would like to keep everything in one currency i.e. USD so we won't have to worry about [currency] variance each time in the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Wong's evidence with respect to this is that by "everything" she was referring to the W3 side, not to any other part of the business. However, this evidence is somewhat problematic since the W3 side of the business would largely not have been transacted in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Mark provided an updated price list by email dated January 26, 2006. Mr. Vo responded with an email query, copied to Ms. Wong, concerning the freight charge for some of the products. In an email exchange in February 2006, Mr. Vo discussed the pricing structure for CVT, making reference to customer comments comparing CVT's prices to Petshed, an Australian competitor. Mr. Vo stated W3 was considering creating additional sites, one priced similar to Petshed, that is lower than CVT, and another priced higher that would advertise in magazines. Mr. Vo asked if W3 should prepare a proposal. Mark responded that they would be very interested.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May of 2006, Mark advised W3 that an error had been detected in the method of remittance of cost of goods to AWI, whereby W3 was not remitting the US cost of goods but rather a lesser amount, which appears to have been calculated assuming the cost of goods was in AUD, not USD, despite the fact that the figures uploaded by W3 from Mark's spreadsheet were those in the column headed "USD cost of goods" not in the column marked "AUD cost of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Wong and Mr. Vo investigated and ultimately resolved this underfunding by payment over time of the USD amounts to AWI. Their investigation reached a very similar result to the analysis suggested by Mark. The total difference ultimately calculated by Ms. Wong was $209,085.74, as identified in Ms. Wong's email of May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Wong's evidence with respect to this was contradictory. It is clear from the email exchange that she checked Mark's calculations and made a revision. However, in cross-examination she stated at one point that she had just accepted Mark's figure at face value. She said that her reference to checking was that she had simply called Mark and he confirmed the amount stated was what his accountant had calculated. However, it is clear from the documents that she changed the figure that Mark had proposed. Ms. Wong then stated that she did check Mark's spreadsheet against the database to check the totals. She agreed that she needed to look at more than what he had provided and that she went into the backend to check the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July and August 2006, the parties exchanged drafts of the Profit Sharing Agreement. Ms. Wong received legal advice with respect to the terms of the agreement. AWI provided a copy of the Profit Sharing Agreement, signed by both parties on September 14, 2006, by email. Both the Perissinottos and Ms. Wong testified that the terms of the Profit Sharing Agreement reflected the arrangement that had been in place with respect to the operation of the website for the past year. The Profit Sharing Agreement is appended to these reasons as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During 2006, W3 did not make any suggestion that there be a retrospective re-calculation of operating costs or a reconciliation of expenses, save for the discussion concerning the error identified by AWI in the calculation of cost of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Sometime in 2006, the Perissinottos learned that Mr. Kumar had left Pivotal. He approached them to suggest that they engage in business ventures together. This culminated in an agreement that resulted in the formation of Pavillion.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By email dated October 2, 2006, Mark asked W3 to provide an estimate with respect to W3 setting up the backend for VSO, which the Perissinottos were considering transferring back to W3 from Pivotal. An estimate was requested for three options, being full service; backend software with hosting and maintenance; and purchasing the software with hosting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Wong provided a response by email dated October 27, 2006. The estimate provided for Option 1 was: start-up $65,500 and monthly charges of $6,100; Option 2 was: start-up cost $58,500 and $6,100 per month; and Option 3 was: start-up $15,000 and licence fee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Mark responded by email dated January 2, 2007 to Ms. Wong's estimate concerning VSO. He indicated that they still had not made their minds up about the VSO backend.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first part of 2007, AWI owned both CVT and VSO. By the early part of 2007, Mr. Kumar expressed his desire to acquire an interest in VSO. Steven testified that he decided there should be a corporate re-organization so that there would be a separate corporate vehicle for each website. The Perissinottos determined that VSO should be transferred to Pet Supplies in order to facilitate Mr. Kumar gaining an interest in VSO through a shareholding in Pet Supplies. The transfer of VSO to Pet Supplies was ultimately effected on April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January 2007, the Perissinottos and Mr. Kumar entered into an agreement with an effective date of November 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Perissinottos were in Vancouver in January 2007 and met with Ms. Wong. Ms. Wong testified that at the meeting, the parties discussed undertaking the annual reconciliation. She said that they discussed getting the accountants together, then gathering the necessary materials and doing a full reconciliation. She stated that they decided to get the accountants started on the project. It was her evidence, however, that this reconciliation was ultimately not completed because other time sensitive projects took priority. Ms. Wong said that she raised the topic of the VSO quote she had provided, but the Perissinottos responded that the project did not make economic sense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Steven denied that Ms. Wong wanted an annual accounting review. It was his evidence that this was never suggested by Ms. Wong or by anyone else from W3. He denied that Ms. Wong raised the subject of an annual reconciliation in 2007. It was his evidence that she never raised the issue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Mark testified about a conversation with Mr. Vo concerning pricing for the CVT website that occurred at a luncheon meeting held at Joe Fortes. He stated that in attendance were himself and Steven, Ms. Wong, her brother Marcellus Wong, Mr. Vo and three or four other staff. He said that they were discussing the cost of goods and Mr. Vo asked whether the Perissinottos would be agreeable to using a new supplier if he could find one that was less expensive. He said that Mr. Vo stated that he had been in discussion with David Brown from Petshed but that their prices were not any cheaper. Mark said that he encouraged Mr. Vo to continue his investigations. He stated that he understood from the conversation that Mr. Vo had been comparing the cost of goods charged by AWI with prices that Mr. Brown had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Steven recalled this conversation between Mr. Vo and his brother at Joe Fortes. Ms. Wong denied that there was any such conversation and stated that her employees were prohibited from discussing business in public places. It was also her evidence that no one in W3 had any knowledge about the costs of goods in Australia and lacked the ability to gain such knowledge, which meant that they were totally dependent upon the Perissinottos. However, it appears from the email exchanges that Mr. Vo was making investigations concerning the costs of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Steven testified that at the Vancouver meeting they advised Ms. Wong that they would not be requiring W3's services in relation to VSO. He denied that he advised that they were still considering their options and noted that after this time they were no longer asked whether they wished to accept the proposal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March of 2007, Mr. Kumar approached W3 to enter into negotiations for the hosting of numerous websites to be operated by Pavillion. Ms. Wong testified that Mr. Kumar approached her and told her that he wanted to set up a number of sites, similar to what was being done with other pet supply businesses. She said that she was concerned because the business plan was so similar to what was being done with CVT. She said that she called Mark and told him her concerns and he told her, after what she described as a long "deadly silence", that he and his brother were associating with Mr. Kumar in this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Mark agreed that he had spoken with Ms. Wong about the proposed project. He stated that she did not express any concerns but seemed excited at the prospect of a new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Kumar then sent an email enclosing a draft joint venture agreement (the "Participation Agreement"). The agreement contemplated W3 providing technical support for the launch and operation of several websites. Certain benchmarks were established. If W3 met the benchmarks, it would be entitled to a 10% shareholding. The agreement provided for consequences if the benchmarks were not met. It also contemplated that W3 would host what was described as a "stakeholder website". Ms. Wong stated that she understood Mr. Kumar to be the person in charge of the project, or at least the person directing the Pavillion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Wong testified that when she reviewed the draft agreement, she was not comfortable with it. She said that W3 would do a lot of work for no benefit. She stated that she was not told the stakeholder website was to be VSO. She recalled a conversation with one of the Perissinotto brothers in which the stakeholder website was trivialized and she was told not to worry as it would be a small site. She testified that she was not comfortable at all, and that Steven or Mr. Kumar offered to remove that portion of the agreement and deal with it separately through a side letter. It was Ms. Wong's evidence that the side letter was never prepared and she never agreed to its preparation. She stated that in the end she reluctantly went along at the urging of the Perissinottos.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Steven denied that he never told Ms. Wong which website the stakeholder website would be and denied that he ever told her that it would be just a minor website. It was his evidence that by the time the drafts were circulated, she knew it was to be VSO. They were not trying to ambush or trick her; rather, they were trying to establish a long-term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Steven denied that Ms. Wong ever said that she did not want to be involved in competing websites, noting that she was already involved with several such competing websites. It was his evidence that W3 was involved at the time in two websites that belonged to W3 that sold human and animal health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documentary evidence demonstrates that whatever Ms. Wong's reservations, in short order she agreed to participate in the joint venture and proceeded to negotiate a revision of the terms of the Participation Agreement with the assistance of her solicitor. W3 succeeded in increasing the shareholding it would receive in the event the benchmarks were achieved, to 14.28%, and to an improvement of the terms at termination. The stakeholder website was to be dealt with in a letter agreement; it appears that this was the suggestion of W3's solicitor. It appears that the terms of the letter were to be that W3 would charge "actual" costs for the integration of the site with the new backend and "actual maintenance and hosting".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appears that the parties reached agreement with respect to the terms of the new arrangement by early April 2007 and all that remained was for the agreements to be signed. This is reflected in an email dated April 1, 2007 from Steven to Margot Guthrie, W3's solicitor, which references a final version incorporating changes they had agreed to in a recent telephone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For reasons that were never really explained, this did not happen. The written agreement was never signed and it does not appear that the side agreement concerning the stakeholder website was ever drafted. However, the parties by this point had begun moving forward on the new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first website in the joint venture with Pavillion was CVD, a pet supply website aimed at customers within the US. The parties commenced work on what would be the CVD site in March 2007. As mentioned, the stakeholder website was VSO, with work on transitioning that website back to W3 beginning around that same time. The original time estimate was that VSO would be transitioned over to W3 about two weeks after CVD went live. At this stage, relations with Pivotal were good and Pivotal was being cooperative with respect to the transfer. In addition, there was a contemplation of the development of a UK website and another general website. Steven and Mr. Kumar procured a merchant bank account in the name of Pavillion through Edelweiss, a large financial institution headquartered in Mumbai, India, with Pavillion's banking being done in Malta.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was Steven's evidence that the deal regarding VSO was that W3 would do the work to put it on its software and servers, would charge Pet Supplies monthly hosting, and would charge maintenance at a discounted hourly rate. Steps were taken to put those arrangements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is common ground that the benchmarks set out in the Participation Agreement were not met. Only one website, CVD, was brought online at that time. The Perissinottos' evidence was that W3 had worked on the UK site but was never able to integrate the pound sterling merchant account with the site, and as a result the site could not take orders and so never became operational. Ms. Wong stated that the UK site was not launched because events with Pivotal overtook the parties. She said that Steven instructed her to pull the plug on the UK site at a late stage in development. She did acknowledge that there were problems with the interface with the merchant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were several meetings held via Skype in which the Perissinottos, Mr. Kumar and Ms. Wong discussed these developments in March, April and May 2007. In addition, Paulette Parry, who had been involved in the marketing of the Pivotal websites, was retained to assist. Ms. Parry stated that in April 2007, she was part of discussions concerning moving VSO from Pivotal to W3. She recalled Ms. Wong being very enthusiastic about the venture. She recalled that Ms. Wong raised no concerns and there was no discussion of a licence fee in her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Mark's evidence was that there was no discussion about any payment of a licence fee for VSO. Ms. Wong never raised the subject during the period of April to June 2007. Mark's evidence was that the price lists for the CVD site were developed in the same fashion as were those of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Steven testified that prior to CVD becoming operational during the summer of 2007, the parties agreed that W3, Mr. Kumar, Steven and Mark would each contribute to the expenses of the venture out of their own pocket until CVD became profitable. Steven and Mark were the sole parties carrying the cost of goods and shipping, which were the largest expenses of this enterprise. Steven also carried substantial advertising expenses. W3 carried costs associated with the out-of-pocket expenses of the call centre. Ms. Wong subsequently agreed to carry some advertising costs. The plan was that once CVD was turning a profit, the parties could seek reimbursement from the project for authorized expenses as outlined in the Participation Agreement on an "oldest first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CVD site became operational in May 2007. It had a modest start and was not profitable from the outset as CVT had been. One early problem was that advertising costs were not properly monitored and became excessive. The parties had agreed that monitoring and measuring the advertising expenses and "pay per click" costs of CVD was the responsibility of W3. The failure to regulate spending in those initial months placed CVD in a financial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Pavillion alleges that in response to Steven's request for others to contribute to advertising costs, Ms. Wong voluntarily offered use of the W3 credit card for Google advertising and then subsequently also to fund advertising on Yahoo. It was asserted that W3 failed to properly administer and manage the advertising accounts, resulting in CVD's advertising account on Google Adwords being suspended on multiple occasions due to non-payment. Once suspended, CVD was denied the benefits of search engine advertising, which serves to bring a substantial portion of customers to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One direct impact of the advertisement suspensions was to lower the Google relevance score of CVD. By the terms of the advertising contract with Google, a small portion of Google code would be placed on the CVD website to allow Google to monitor the amounts of customers visiting the site and the length of time they spent accessing the site. When the account was suspended, these metrics were neither measured nor transmitted to Google, resulting in apparent gaps in the customer traffic of CVD. This served to lower the relevance score of CVD and thus potentially place CVD lower in the rankings when generic terms were searched by Google users. The ultimate result of this lower ranking was that fewer potential customers would be exposed to CVD advertisements and thus less revenue would be generated by the site. The issue persisted through 2007 into the spring of 2008 with the advertising accounts being suspended multiple times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this juncture, problems emerged in the relationship between Pivotal and VetshopAustralia, which was still providing pet products to Pivotal pursuant to the 2003 contract. VetshopAustralia alleged that Pivotal had refused to pay for products purchased and shipped. It alleged that by June 2007, Pivotal's indebtedness was in excess of $1 million Canadian. Litigation was commenced in June 2007. Pivotal defended the claim, alleging setoff arising from breaches in the agreement. In addition, Pivotal commenced a counterclaim, naming the Perissinottos, VetshopAustralia, AWI, Pavillion, Pet Supplies, W3 and Ms. Wong as defendants by counterclaim. One of the allegations was that Pivotal owned or were the co-authors of the shopping cart program that was being used by CVT, CVD and VSO.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litigation eventually proceeded to a consent judgment against Pivotal in favour of the plaintiff. The claim by Pivotal against the Australian defendants by counterclaim was dismissed. The claims against W3 and Ms. Wong remained outstanding. Pivotal did not pay the damages pursuant to the judgment and was petitioned into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Pivotal also responded to the litigation by blocking access to the backend of VSO as well as VSO's bank account. This made the transfer of VSO to W3 all the more urgent. By mid-June 2007, VSO had been transferred to W3 servers.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Steven testified that W3 agreed that the VSO hosting would be at a discounted rate of 30% off their standard hourly rate of $140, with no licence fee. He stated that there was no discussion about a licence fee. The problems with Pivotal required that the transition be accelerated and it was agreed that a premium would be paid for the rushed transition.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Wong testified that at the outset of the Pivotal litigation, she accompanied the Perissinottos to their lawyer's office. It was her evidence that Steven told her, "You are going to see a lot of companies. Don't worry about all the corporations. You are dealing with the Perissinottos." Steven agreed that Ms. Wong was present during meetings with counsel but denied Ms. Wong's version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Wong testified that around the time the litigation with Pivotal commenced, Steven and Mark requested W3 provide some indirect financial assistance. Steven requested that W3 give a discount for its work on VSO, with Ms. Wong agreeing to a 25% discount. She said that he also asked W3 to hold off issuing invoices for the time being and she agreed. Steven denied that there was a conversation with Ms. Wong in which he requested that she not forward bills for VSO. He stated that he made no such request. It was his evidence that W3 had agreed to charge discounted fees prior to the litigation with Pivotal.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Despite the differences in the evidence with respect to how the discount originated, it appears to be common ground that the agreement for webhosting of VSO was to be for a discounted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Starting in July, a number of problems were encountered with the operation of the websites. Service disruptions were observed with VSO and reported to W3. Ms. Wong responded by email dated July 19, 2007, stating that to assist in performance she was having VSO moved to its own server. She stated that the plan had been to have it on a dedicated server from the outset but that this had not occurred due to time constraints. However, it appears that VSO was never placed on a dedicated server. There were other websites sharing the server space and resources with VSO at all times during its operation on W3 servers.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Problems also emerged in this period with very poor performance from the call centre. Anton North, a member of the support group of W3, advised that W3 suspected it was a routing problem external to W3. Many calls went unanswered or callers were required to wait inordinate amounts of time before being assisted by W3 call centre staff. Call centre pick-up targets are typically in the area of 95% of calls being answered. However, the W3 call centre pick-up rate had dropped to 53.1% and 58.6% in May and June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Beginning in July 2007, the Perissinottos, Mr. Kumar and Ms. Wong began holding weekly management meetings for Pavillion, for which minutes were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Problems with the call centre and websites continued in August and September. Performance in July rose slightly to 63.5% and in August 2007, the answer rate was 80%. However, the W3 call centre did not come close to the target answer rate of 95% for any sustained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addition, the parties experienced problems with generating reports from the backend of the CVD and VSO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By email dated August 2, 2007, Ms. Wong requested an increase in the expense allowance for call centre costs from $500 per month to $3,700 per month to reflect the centre's real costs. The other parties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Steven asserted that W3 consistently failed to properly regulate and limit advertising costs in relation to CVD. By the end of August 2007, the advertising expenses were significantly disproportionate to the sales margins for the project and had caused significant monthly losses to CVD.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Starting in August 2007, CVT began to experience cash flow problems. As a result, W3 was not remitting funds as promptly as it had in the past. While the Perissinottos had access to the backend of the website, W3 was not providing bank statements, so they could not determine where the problem lay. Steven stated that there should not have been a cash flow problem because customers paid in advance and the website was always profitable.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August 2007, Steven requested that someone provide a credit card to pay for ads for CVD; Ms. Wong offered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September 2007, Mark sent new price lists to Ms. Wong for CVT. He stated that he would deal with VSO prices and Steve would upload prices for CVD. He also stated that he had worked out the cost of shipping over the last 12 months and would have to put the shipping costs up to $6.25 to cover the increase he had calculated. He requested the change be made effective September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is an issue between the parties with respect to the changes to the price lists. Mark agreed that he had the ability to change prices in the backend. It was his testimony, however, that he did not do so for CVT, but rather he would send new price lists to W3. He did not agree that he changed prices without notice to W3. It is the case that there are several documents in evidence reflecting the fact that Mark followed his stated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Wong produced a document that she testified tracked numerous changes to the prices, reflecting far more changes than the number of price lists sent over by AWI. She stated that it is possible to look at the database and tell how often the prices were changed. She stated that she requested her programmer check how many times the top eight products' prices changed and found that the cost price changed from 3 to 9 times and the retail price from 7 to 12 times. It was her evidence that no one from W3 ever made unilateral changes to the prices. She stated that W3 only received 3 or 4 price lists and that her research indicates that the price changed more than that. Counsel for W3 seeks to have this court infer that AWI made unilateral changes to the prices without notice to W3. However, the document prepared by Ms. Wong was never put to either of the Perissinottos. In addition, W3 did not call either Wayne Vo or Ben Koshi.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Vo left W3 in September 2007. Ms. Wong's evidence was that he was overworked because of all the problems they were confronting. She said that he felt he deserved an equity share, but she could not give him more salary and there was too much going on to discuss an equity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At around that time, Mark and Steven began complaining about the length of time it was taking for fairly simple changes to be implemented by the W3 staff. They later learned that part of the difficulty was that Mr. Vo had left W3. At first they were not informed of his departure. It was Steven's evidence that things got much worse after his departure because he had been the one dealing with any problems that arose, and when he left it seemed that no one at W3 knew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Problems with the websites continued in October and November 2007. These problems included difficulties with the reporting functions and numerous complaints about the sites going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Wong testified that in the fall of 2007, she had a discussion with the Perissinottos in which she told them that she believed that VSO was the target of malicious attacks. She said that she explained that W3's normal protocol when a website was under attack was to shut it down for several hours, and that this was the industry standard. She said that the Perissinottos responded that they needed the money and could not afford for the site to be down. They did not want to lose market share. Ms. Wong said she told them it would be very expensive to keep the sites running under these circumstances, but they decided to pay for the service "as long as it doesn't cost zillions."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Steven denied that in the fall of 2007 he was asked what he wanted to do about the website's stability and that he gave the instruction to W3 to keep the websites up and running. He denied that he said that he was prepared to pay "as long as it doesn't cost zillions." It was his evidence that no such conversation occurred. In addition, Steven denied that he ever gave Keanu Tok, an employee who was involved in the maintenance of VSO, the instruction to advise W3 to keep the site up and running at any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was determined in October 2007 that customer calls to VSO would be routed to a call centre in Barbados associated with Mr. Kumar. Thereafter, W3's only association with the VSO call centre was hosting the toll-free number which was routed through to the Barbados call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During the summer and into the fall of 2007, Pavillion suffered the same service disruptions to the operations of CVD as those suffered by CVT and VSO. The service disruptions were not limited to the frontend of the CVD website. The reporting functions in the CVD backend regarding product sales reports were rendered inoperative, with error messages referencing ColdFusion programming. Pavillion's service disruptions were not confined to the website operations of CVD as the CVD call centre routed through W3 was experiencing frequent downtime each day. Thus, customers would be unable to place orders with CVD in any form during these types of outages.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Wong testified that W3 was stretched financially at this time. It was her evidence that it was taking all of their resources to deal with the problems associated with the three websites. She stated that as a result, W3 was not able to look for new clients. They were not able to bill for VSO. Cash flow was problematic. In addition, the profit share from CVT was down from what it had been in 2006. Ms. Wong stated that due to these financial pressures, she stopped taking a salary from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Wong testified that starting around this time period, she diverted $140,000 from CVT to pay for CVD advertising expenses. She stated that the same credit card was being used to pay for both CVT and CVD expenses. While she could have logged onto the Google account to find out which charges were for which website, she did not do so. She said that there was, at the time, no in-house bookkeeper and Ms. Wong herself was keeping track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Wong agreed that she did not tell the Perissinottos what she was doing. She said that she hoped that once the reconciliations were done and the money balanced, it would all work out. She said that she believed the situation was only temporary. She said that it was her expectation that everything would be made right after the reconciliations. However, if that was her state of mind, one wonders why she would not simply have told the Perissinottos what she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Wong stated that this practice of using CVT funds to pay CVD expenses commenced in the fall of 2007, and that at first she was not consciously aware of what was occurring; she was just paying expenses and not really keeping track. She said that her profits from CVT had shrunk and the money had to come from somewhere. However, as will be seen, in fact Ms. Wong had been preferring W3 with respect to payouts from the CVT account from the outset of the venture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Wong's testimony was that she had a discussion with Mark and Steven and they all noted that they did not get to the reconciliation, and they all agreed that the reconciliation would be completed once the Pivotal lawsuit ended. As noted, Mark and Steven deny that there was ever any discussion or agreement concerning such a reconciliation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service disruptions experienced in relation to all three sites peaked from November 2007 through January 2008, during which time service disruptions were occurring multiple times per day and multiple days per week. Every service disruption resulted in lost sales as customers were unable to transact business on CVT, VSO or CVD, depending on which of the sites were disrupted at the time. Service disruptions were not confined to the frontend customer interface of the websites. The backend also experienced severe service disruptions, which affected administrative functions and often caused major issues with the customer order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No expert evidence was called by either party with respect to the question of the cause of these problems. Ms. Wong claimed the stability issues were the result of Distributed Denial of Service ("DDoS") and SQL Injection attacks. It was suggested that Pivotal was the party responsible for these hacking attacks. However, Anton North, who was W3's network administrator at the relevant times, expressed the view in an email dated December 11, 2007 that this was not a server problem since other sites hosted on the same servers did not experience the problems. He stated that the actual traffic into and out of the box was negligible, which means the problem was neither external nor the result of someone bombarding the site with traffic. He expressed the opinion that the source of the problem was "almost certainly" a purely internal problem with the way the sites worked. It was his view that something within the sites was causing the problem. It should be noted that his evidence was not admitted as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North testified that the problems in relation to the websites started in the summer of 2007. He had discussions with Ms. Wong with respect to the issue. She expressed the view that it could be an external Denial of Service ("DoS") attack. However, when he examined the network statistics there did not seem to be any evidence of that. He stated that because there was negligible network traffic on occasions when the sites were down, in his mind the downtime could not have been caused by a DoS or DDoS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W3 issued an invoice dated November 15, 2007 to Pavillion with respect to telephone, long distance and hosting charges for CVD for the period May to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W3 also issued an invoice for VSO long distance and hosting from May to October 2007. In an email dated November 27, 2007, Ms. Wong explained that she had been so busy working on "getting us through the rough times" that she had not had time to do the VSO and CVD billings and disbursements. This is inconsistent with her evidence that she had agreed to delay issuing invoices related to VSO at Steven's request, evidence that was also denied by Steven.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It was Ms. Wong's evidence that she understood the client with respect to VSO was the Perissinottos personally, as this was their family business. She said that she was never directed to address bills to any particular entity or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Both Mr. Kumar, on behalf of Pavillion, and Steven, with respect to VSO, had queries with respect to W3's charges and requested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sites were offline for a considerable period of time during the Christmas season. Steven testified that he telephoned Ms. Wong and asked for an explanation, to which she responded that W3 believed the outages were being caused by external attacks. He stated that she never said that there would be charges for repairs. It was his evidence that he would expect to be contacted in advance and given an estimate with respect to any extra work that was to be undertaken. He stated that never happened in relation to the response to these problems. With respect to the Christmas downtime, he only learned of the problem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Marcellus Wong stated that he had a conversation with VSO employee Mr. Tok in December 2007, sometime between December 25 and January 1. Mr. Wong said that he suggested leaving the site down to the next day but that Mr. Tok insisted the site be kept up. He stated that he conversed with Mr. Tok every day, as frequently as every other hour within office hours during this period. He said that they had also discussed redeveloping the site and that he gave an estimate of how much this would cost. He stated that it was his recollection that Mr. Tok instructed him that any charge less than the cost of redevelopment, which had been estimated at $100,000 to $200,000, would be acceptable. None of this was ever put to Mark or Steven in cross-examination and no documents reflect such discussions or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North testified that he was on vacation between December and January 2007. He had no knowledge of any work done on the website and he did not do any work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Steven testified that he learned in January 2008 that the VSO site had been down frequently over Christmas. It was his evidence that there had been no discussions with W3 regarding site problems during this time. He stated that there was no discussion between December 20 and January 2 concerning technical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was his evidence that Ms. Wong had never stated that whatever arrangement was in place with Pavillion was off. Steven testified that the parties all conducted themselves pursuant to the terms of the Participation Agreement and the side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early January 2008, VSO experienced a lengthy service disruption. During this time, the cost per acquisition metric used for Google advertising became prohibitively high. Because the site was down for so long, every click on their advertising links was costing Pet Supplies money as customers were unable to transact business on VSO. As Pet Supplies was not notified of the lengthy disruption, they were unable to take preventative measures, such as suspending the Google advertising efforts to prevent needless expenditure.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service disruptions experienced by CVD and CVT also continued. The frontend of all three websites would, from time to time, experience downtime simultaneously and on occasion, multiple times per day. The websites also shared a common remedy to the common downtime: a restart of the website servers. On occasion, the error messages received on the website frontend would indicate some 'internal error' or issue with 'ColdFusion syntax'. While no indications as to the root cause of the disruptions had been disclosed to Pavillion, AWI or Pet Supplies management, W3 staff was running monitoring programs on the ColdFusion code to determine the source of the disruptions.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Without consultation with the management team of Pavillion, AWI, or Pet Supplies, W3 implemented three solutions in an attempt to address CVD downtime. While it cannot be said with certainty which of the three solutions, if any, was successful, it can be said with certainty that one solution caused additional issues. The Perissinottos assert that this exercise provided insight into a possible cause of the shared downtimes experienced by CVT, VSO and CVD. Insertion of the 'bottrap' code fragment into CVD by W3 resulted in additional issues and downtime experienced by CVD. This made it apparent that one reason for CVD, VSO, and assumedly CVT experiencing downtime simultaneously was that the websites were tied together through their sharing of some aspects of the underlying code. The 'bottrap' failed to recognize VSO code, and when CVD attempted to access VSO for certain functions, VSO was denied access back to CVD causing both sites to go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Perissinottos assert that the service disruption of the CVD frontend was accompanied by persistent and continuing errors in the backend reporting systems. On January 2, 2008, it was brought to the attention of W3 that the CVD order reporting system was malfunctioning. The system was not splitting orders to the correct fulfillment warehouse or to any warehouse at all in some cases. Without a fully functional and reliable order reporting system, CVD was unable to ensure all customer orders were being filled. This presented an urgent problem for CVD and Pavillion as incorrectly filled or unfilled orders directly impacted the revenue stream of CVD. While the issue was brought to the attention of W3 on January 2, 2008, a response was not received until January 23, 2008, after two additional emails from Steven. The issue was unresolved well into November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On January 24, 2008, the customer address update feature on VSO was non-functional, which meant addresses were not being updated when changed by customers, and orders were being shipped to incorrect addresses. This resulted in a further loss of revenue and product. A request to address this issue was put to W3 on January 24, 2008, followed up on February 5, 2008 as no response had been received. W3 finally addressed the problem on February 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addition to the order system reporting malfunctions, W3 claimed that external hacking caused damage to the database and website functionality. This served to either delay the shipping of products to customers or, in some cases, could have resulted in products being shipped to the wrong addresses. In the latter case, there was a direct loss to the revenue of CVD as products would have to be reshipped to the correct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backend reporting malfunctions were not limited to discrete aspects of the database or discrete periods in time. The Perissinottos asserted that the sales reports first identified to W3 as being inoperative in mid-August of 2007 were still non-functional into April of 2009. The Perissinottos asserted that there was a chronic difficulty with respect to the reporting function in the CVD backend. They asserted that the failure of the CVD backend to generate accurate sales reports resulted in the inability to accurately gauge and monitor the financial health of CVD and determine the profitability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Wong denied that there was a problem with this reporting function. Her evidence was that Steven would report that he was experiencing problems, but whenever W3 would investigate it could find no issues with the backend. Nonetheless, the problems with the sites continued. The parties were in frequent email communication concerning these issues. The emails make reference to telephone communications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cash flow problems continued with respect to the CVT payments. The funds remitted by W3 were late, and full payment to AWI of the amounts reflected in the reconciliations prepared by W3 was not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March 4, 2008, Steven sent Ms. Wong an email expressing considerable frustration with these cash flow issues. The email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CVT is profitable and can be self-funding. If there was not enough money in the bank account, we really need to find out where it's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or around April 2008, Mark and Steven determined that given the unreliability of W3's hosting services and excessive service disruptions, VSO would be migrated to hosting and service providers in Australia. Preparations were underway to effect this migration by early April 2008. By May 2008, VSO had been transferred to Australia. The only remaining business ties between W3 and Pet Supplies was W3's maintenance of routing services for the VSO toll-free number to Barbados and a copy of the backend on W3 servers, which was kept for a short period of time until VSO was fully settled with the Australian service company. VSO suffered no stability or functionality issues once it was moved off W3 code and servers onto a new programming code and servers.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Internal to W3 and unknown to Pet Supplies, a report was pulled from the website monitoring system of VSO at the request of Ms. Wong. The report provided an accurate week-by-week account of the downtime experienced by VSO. According to the report, in the ten months of operation on W3 servers, VSO experienced 166.266 hours of cumulative downtime. Until this litigation, Pet Supplies had never seen the report and was not informed the W3 servers possessed the capability to track and issue such 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cash flow problems persisted with respect to CVT. On July 3, 2008, Mark sent an email setting out a reconciliation he had prepared for April, May and June showing a cumulative shortfall, not including any profit, of $222,308.70. Ms. Wong replied that she had been too busy with a variety of matters to deal with the reconciliations but promised them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Steven followed up by email dated July 6, 2008, to which the response from Ms. Wong was that she was almost done. He followed up again with an email dated July 9, 2008 stressing the urgency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Wong replied by email dated July 12, 2008, enclosing a reconciliation summary for April to June. She suggested the shortfall was only $73,000, not the roughly $222,000 that had been calculated by the Perissinottos.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Steven attended Vancouver from July 14 to 19, 2008 and met with Ms. Wong. At the meeting, Steven requested the CVT cash flow "wash-up" for the previous twelve months and the bank statements for the previous six months so as to understand why the bank account continually had insufficient funds to cover the weekly cost of goods payment in a timely manner. Ms. Wong claimed the bank statements were with her accountant and thus could not be provided. It should be noted that Ms. Wong's accountant, Anne-Marie Brennan of Hay &amp; Watson, maintained an office at the W3 premises. Ms. Wong further advised that she was keen to determine what the problem was and claimed she had no idea why there were shortfalls in the CVT bank account. She said nothing about using CVT funds to pay for CVD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Steven testified that during this period Ms. Wong said that she had invoices for VSO that she had to issue but had not got to yet. It was his evidence that he told her to issue them. He stated that Ms. Wong promised to send bank statements for the Bank of Montreal account relating to CVT so they could get to the bottom of the cash flow problem. This is referred to in an email dated July 23, 2008 in which Steven reminds Ms. Wong to send along the statements as they had discussed. He renewed the request by email dated July 30, and again on August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emails exchanged during this period continue to reflect a variety of problems with the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By email dated August 18, 2008, Mark reported that according to his analysis there was a shortfall of $113,209.82 for July. He reminded Ms. Wong about her agreement to forward the bank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cash flow problems continued, and in an email dated September 4, 2008, Steven stated that "this is simply unacceptable". Ms. Wong proposed to have Ms. Brennan come in to review the bank statements. Mark sent an email dated September 30, 2008 in which he repeated that there should be sufficient funds in the bank account because funds are received when the customer makes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Brennan is a staff accountant at Hay &amp; Watson. She had performed bookkeeping for W3 for several years, starting in 2000. She recalled that in the fall of 2008, Ms. Wong asked her to help determine where she stood regarding payment to the Australian partners. She was asked to account for money coming into and out of the bank account for CVT. She was asked to start with 2008. However, it became clear as the task progressed that they needed to go back to the start of the project. Ms. Brennan noted that at the time she started her exercise, W3 did not have a separate account for CVT. She agreed that W3 was using multiple credit cards at the time and had no designated credit card for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Brennan agreed that prior to September 2008, no one had ever discussed the notion of reviewing the cost of goods with respect to CVT. She agreed that prior to September 2008, Ms. Wong had never said that at some point there would be a review and reconciliation of the cost of goods regarding CVT. There was no discussion whatsoever of such a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She stated that her understanding of her retainer was that she was to explain what the Perissinottos were entitled to, what they had received, and address money going in and out of the account as well as money missing from the account. She agreed that at the start of the exercise she had no expectation of reviewing the cost of goods and that Ms. Wong said nothing about it. She stated that W3 was the client and there was no engagement with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It should be observed that Ms. Brennan's description of the task she was asked to undertake is not consistent with Ms. Wong's characterization of that task, which was that Ms. Brennan was to undertake the long-delayed yearly reconciliation of the CVT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Brennan recalled a conversation with Steven in October 2008 during which she explained the need to go back to the start of the project. Steven was aggressive in wanting the information and could not understand why it was taking so long, but ultimately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Brennan testified that during this process, Steven advised her that he required the accounts for the Pivotal litigation to show he had made efforts to mitigate. The trial was scheduled for February 2009. She stated that she discussed this with her superior at Hay &amp; Watson, Olivia Benbaruj, and they concluded that this would require Hay &amp; Watson to issue more formal financial statements for the project because the statements could be scrutinized in court. This meant that they needed to ensure each line item had substantiation to show how that number was arrived at. She stated that meant that while they had been using the numbers from the backend for cost of goods, they wanted to make sure there was support for the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found this evidence to be problematic. Ms. Benbaruj did not testify and so the court did not have the benefit of her evidence. This evidence was never put to Steven in cross-examination. There was no retainer agreement with respect to this matter. Yet Ms. Brennan stated that the original retainer was with W3 only, thus a retainer with AWI would seem to be required in the circumstances she described. Such a retainer was not referred to in any documents and is inconsistent with subsequent email communications. The timeline was extremely tight with respect to a February trial date. I note that the draft report that was eventually issued by Hay &amp; Watson was a Notice to Reader report, providing the lowest level of assurance, not a "line by line substantiation".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Brennan agreed that there was not a single communication with respect to this higher level of assurance. She also agreed that it was possible that she never said to Mark or Steven prior to December that they would need backup documents regarding the cost of goods. She agreed that it was possible that there was no request for source documents from Hay &amp; Watson prior to December 31, 2008, and that there was no document saying that the documents were needed referencing the February trial. In addition, when the time passed and there was no report, there was no reference in any of the documents to the report being needed for an impending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conclude that Ms. Brennan is mistaken in her recollection with respect to the issue of the retainer being expanded to include cost of goods analysis because of a request by Steven to use the report in the Pivotal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Steven testified that he understood that Ms. Brennan was being brought in to look at the bank statements and to compare the transactions going in and out of the bank account with the expenses reported from the backend of the website. It was his evidence that no request was made by either Ms. Wong or Ms. Brennan at this time or during the period of September to December 2008 for further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By emails from Mr. Wong dated September 16 and 24, 2008, a number of VSO invoices were issued. Steven testified that he was surprised at the very large amounts, and disappointed by the very limited description of the services. Further, the hourly rate was not what had been agreed to and the agreed discount had not been applied. His evidence in particular with respect to invoice 00128317, which included a charge for 24 hours of emergency technical support at $435 USD per hour and 96 hours at $362.50 USD per hour, was that no such work had been ordered and they had never been told that such work would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Further VSO invoices were issued by a subsequent email. These two invoices are described as replacing two previous invoices, which had already been paid and pertain to the transition of VSO and its call centre. The second invoice includes a charge of US$82,500, noted as 50% of a licence fee of US$165,000. The email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Basically showing the damages you suffered when Pivotal decided to lock you out from you website and toll free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There were a number of issues with the initial invoices that gave the Perissinottos concern. The invoices did not detail the work done in anything but generalities. Some of the tasks appeared to be work not requested or authorized. Some charges appeared to be for duplicate work and some appeared to be for work referenced to CVD or CVT and not attributable to VSO. Two invoices appeared to claim for work done to prevent external hacking. However, no evidence that any such work ever occurred was provided. In any event, even if the work did occur, Steven was of the view that it was W3's responsibility to prevent it, not Pet Supplies to pay for it. The first invoice also contained full charges for VSO customer service representatives running the call centre. However, these representatives were the same ones used to run the CVT call centre. No new equipment was acquired or, if there was, Pet Supplies did not agree to pay for it. Additionally, the invoices were incorrect as they did not apply the discounted hourly rate pursuant to the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subsequent invoices gave rise to additional concerns. Both invoices were stated as being "replacement" invoices related to the emergency rush setup of VSO and an apparent licence fee. Initial invoices relating to the rush setup of VSO were paid in late 2007 for a combined amount of $12,533.30, while the replacement invoices exceeded $150,000.00. Steven took the position that there had never been a licence fee requested or agreed to. He stated that, in fact, the licence was to be provided at no charge as a service to Pet Supplies under the side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light of the magnitude of the invoices and lack of substantive supporting information, Steven emailed Ms. Wong on October 1, 2008, and stated that Pet Supplies required clarification on the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Steven testified that sometime between October 1, 2008 and October 4, 2008 the invoices were discussed in a telephone conversation with Ms. Wong. He stated that Ms. Wong confirmed during the call that she had issued the replacement invoices on her own initiative, allegedly to help with Pet Supplies' case against Pivotal. He stated that she agreed that the invoices were not payable, and also agreed to revise the other invoices to reflect the discount and to provide timesheets and other supporting evidence of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Wong testified that the "replacement invoices" had their genesis in a request made by Steven during a telephone conversation sometime in 2008. She stated that he requested W3 to provide invoices reflecting the "true value" of what W3 had done in 2007 so that the work done could be recovered in the Pivotal litigation. She said that she was fine with providing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difficulty with this evidence is that it appears inconsistent with W3 then suing to recover those amounts in this litigation. That was a claim that was pursued until it was withdrawn during the course of Ms. Wong's testimony at trial. Ms. Wong's testimony was that she made the claim in this litigation because she was angry. She said she wanted "them" to realize the value of W3's services. Now, that is during her testimony, she decided to "let this invoice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With respect to the tech support invoices, Ms. Wong testified that she assigned someone at W3 to collect all of the information relating to those invoices from the technician. She said that her instructions were to make sure that the hours recorded were for VSO and to be conservative because she was trying to help the Perissinottos.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Wong testified that she had backup information for the invoices at the time, setting out tables of the staff hours provided by the staff. However, no such documentation was in evidence at trial. She stated that with respect to some of the invoices issued, she realized that she had missed hours in earlier billings or in some cases simply not gotten around to billing.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Wong testified that at W3, the staff has a reporting tool ticketing system. He stated that they migrated to that system in October 2007. The technical staff produces reports from the servers where they gather their work. The ticketing system collects their work and quantifies it. The technical staff would take information and enter it into the ticketing system as soon as they had finished their tasks. They would record when the issue came up, the ticket number, start time, the nature of the problem, the resolution, who performed the tasks and on which 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Wong stated that to assemble an invoice he would then take the information from the ticketing system into the accounting system which would apply the rate automatically. He stated that the invoices were prepared monthly and he did the work to prepare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It was his evidence that the ticketing system information was lost in a server crash. He does not recall when the crash occurred except that it was sometime after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By October of 2008, the world was well into suffering the effects of what came to be called the Global Financial Crisis. One effect of this crisis was a drop in value of the AUD compared to the USD. Within four months of July 2008, the AUD dropped into the $0.65 USD range. AWI did not react to the precipitous decline in the AUD to adjust prices and costs. However, Ms. Wong requested the cost of goods price list be reviewed to take account of the change in foreign exchange rates. Mark acknowledged her request for a review of the wholesale product pricing and cost of goods and provided a revised price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furtherance of the creation of the new price list, Ms. Wong provided a special spreadsheet to Mark to utilize. As per instructions from Ms. Wong, Mark updated the prices in the spreadsheet and Ms. Wong had a programmer at W3, Jessie Huang, upload the prices into the CVT backend.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Brennan completed a preliminary accounting review report in October 2008. After reviewing the report, Steven responded by email dated October 9, 2008,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looked through the figures Anne Marie sent through. It pretty much corresponds with the numbers we have (i.e that you have previously supplied in the monthly P&amp;L). But what the document called "CanadaVet COGS per reports vs payments" doesn't show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Of the amount transferred in January, $160,167 was to clear money outstanding for the previous year (see your email of 15 Jan 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Anne Marie's comment that "The COGS vs payments to Global Dispatch spreadsheet shows that for 2008 the payments made to Global Dispatch exceed the COGS" is not correct as it does not take in to account the above $160,167 attributable to previous year. When we take that figure in to account, we get: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COGS+Shipping 1 Jan to date = $3,341,893.28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Amount transferred = $3,373,206.07 - $160,167 = $3,213,039.07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Giving a shortfall of = $128,854.21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before even taking to account profit share for the period of $93,804.41 up to the end of Sept.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Giving a total shortfall of $222,658.41 which is why we are in the position now that we are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Benbaruj reviewed this analysis and provided a response in an email to Ms. Wong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based on Steven's e-mail dated Oct 8th, he surmises that:</w:t>
      </w:r>
    </w:p>
    <w:p>
      <w:pPr>
        <w:spacing w:before="120" w:line="260" w:lineRule="atLeast"/>
        <w:rPr>
          <w:rFonts w:ascii="arial" w:eastAsia="arial" w:hAnsi="arial" w:cs="arial"/>
          <w:sz w:val="20"/>
          <w:lang w:val="en-US" w:eastAsia="en-US" w:bidi="ar-SA"/>
        </w:rPr>
      </w:pPr>
      <w:r>
        <w:pict>
          <v:shape id="_x0000_i1243" type="#_x0000_t75" style="width:365.25pt;height:104.25pt">
            <v:imagedata r:id="rId981"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agrees with the information provided but again we are unable to verify any shortfall from prior periods. Based on the information available, it is possible that more money has been transferred to W3's accounts than W3 is entitled to. We are unable to determine this until all costs related to this venture has been recorded or even provided. At minimum, transactions for all periods prior to January 2008 must be summarized.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email continues that while Hay &amp; Watson recognized the urgency of the project, there was an outstanding account which needed to be settled in relation to the work. Ms. Benbaruj notes that the full task would require a considerable amount of time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Brennan stated that at a meeting in October 2008, Mark and Steven agreed to receive all the accounting for all projects done once the Pivotal litigation was complete. She stated that by that time she had indications that W3 had used CVT money to pay CVD expenses. She stated that this was discussed at the meeting and Steven said that CVT funds were not to be used for this purpose. She stated that there was a discussion about how to proceed and that Steven said once the accounting was completed for CVT, a global accounting could be done for all the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or around early November 2008, payment in the amount of $8,337.98 was made on behalf of Pet Supplies to W3 in respect of certain invoices considered to be properly issued and payable. Ms. Wong emailed on November 7, 2008 requesting further funds be transferred and stated W3 had issued credit to Pet Supplies for VSO for close to 1.5 years. Steven disputed this assertion on the basis that no credit, as such, was issued by W3. The invoices rendered covered work done from approximately 1.5 years prior to the email, as well as work performed as recently as the preceding 5 months. Up until W3 issued the invoices, there was no notice of the magnitude of the amounts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By email dated November 25, 2008, Steven wrote asking for an update on the progress of the work being done by Hay &amp; Watson, stressing the urgency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An email dated December 4, 2008 makes the first reference to the suggestion that CVT funds might have been used to pay advertising expenses in relation to CVD. Steven testified that up to this point Ms. Wong had consistently told him that she was carrying those CVD expenses herself and that she had no idea why CVT was experiencing a shortfall.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Steven testified that he was extremely upset by this and arranged to meet with Ms. Wong to discuss the issues. She then cancelled the meeting. He wrote an extensive email dated December 10, 2008, the themes of which included: the fact that W3 continued to be behind in payments with respect to the CVT account; the suggestion that CVT funds had been used to pay CVD expenses which would be a "clear breach of the agreement"; and the unacceptable delay in the completion of the Hay &amp; Watson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email also stated the following with respect to the VSO invoices: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it seems that the amounts flowing to w3 are in excess of bills canadavet.com has to pay and we are entitled to an explanation. For example, Anne Marie's figures show that in October, almost USD$39,000 flowed to w3/your credit cards. As there was no Google or Yahoo advertising in that month, the only significant expenses in that month for CVet (other than stock and P&amp;H) would have been Paulette for CAN$3,500 and the call center fee for USD$3,500. For November, her figures show USD$31,000 flowing to w3 and again, the only significant expenses to be paid that we are aware of is the payments to Paulette and the call center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cannot believe that Anne Marie has not been able to complete the reconciliation in the months she has been working on it. Businesses can usually do their yearly accounts in a few days of hard work. Even though she is going back to 2005, it still shouldn't take months to do. Either she is not in a position to give it the attention it deserves or she is not been given the information she needs.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also mentioned on a number of times that you felt we are not giving you consideration regarding the costs you say [you] are carrying in relation to vetshoponline.com. This is simply not true. We are very appreciative of all you have done for vetshoponline.com. As you know, I have been asking for many months for final invoices so we can work out payment. Since June last year we have transferred to you USD$88,767.39 which I am sure would have assisted in relieving that pressure (I include the $56,968 sent to you November 07 here as it was sent to you as re-imbursement of advertising costs you said you incurred for CVD, but we now know those costs where actually paid from the Canadavet.com account). To date we have paid you all your invoices to establish the VSO site, set up costs for the call centre, the database and website hosting for the time that you hosted the site and the [telephone] charges for the call centre. The only invoices not paid are for tech support and for the call centre staff and as you know I have been asking for more information about these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a subsequent telephone conversation between Steven and Ms. Wong, Ms. Wong suggested that her parents would provide a loan but wanted security from the Perissinottos. Mark rejected this proposal by email dated December 19,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Wong testified that sometime during the fall of 2008, likely in October, Steven requested information about the invoices. Mr. Wong stated that he produced a report from the ticketing system and gave the information to Steven.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By year end, Hay &amp; Watson had still not completed the work. Steven testified that no request had been made by either Hay &amp; Watson or Ms. Wong for documentation concerning cost of goods or shipping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Wong testified that in early 2009 there were a series of telephone conversations with the Perissinottos concerning renewal and renegotiation of the contract between W3 and AWI, which was coming to an end in September 2009. It was her evidence that the discussions were to move in the direction of equal ownership. She stated that shortly after January 14, 2009, Mark and Steven agreed in another telephone conversation to renew the CVT agreement with a document to be drafted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Brennan testified that in January 2009, she had a discussion with Ms. Benbaruj about the accounting project. She stated that they discussed the cost of goods and Ms. Benbaruj asked what documents Ms. Brennan had to support the costs listed. She replied that she only had the backend figures. She testified that Ms. Benbaruj then asked her to get Ms. Wong to request more documents from the Australians.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However, as will be discussed later, this evidence is at odds with documents from her files, produced for the first time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early January 2009, W3 rendered an additional invoice, predominantly for bandwidth hosting for the old VSO backend which was now hosted in Australia. Again W3 provided no supporting documentation aside from brief line item descriptions.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By February, the Hay &amp; Watson report was still not completed despite considerable urging from the Perissinottos. Ms. Wong sent an email dated February 3, 2009 noting that the Profit Sharing Agreement was coming up for renewal in September and asking if that topic could be added to the agenda for discussion. I note that this appears to be inconsistent with her evidence that the parties had already agreed to renew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On February 4, 2009, Ms. Wong sent the following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Steven,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AnneMarie will be sending us a draft report - which still has to be reviewed by a supervisor at Hay &amp; Watson Chartered Accountants- next Tuesday.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noted that included in the draft report is a list of outstanding items that must be provided in order to complete the CV compilation.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are materials to support CanadaVet expenses and cost of goods sold.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Hay and Watson have requested the following information for the COGS: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Copies of documentation to support cost of goods sold which should include the following:</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Date of invoice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Supplier name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amount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of all invoices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have the documents required for cost of goods sold (other than Marks Marine invoices), I will need to defer to you to provide the information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forward the materials listed directly to Hay &amp; Watson by email to obenbaruj@hay-watson.bc.ca as soon as possible, so that they can complete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Steven testified that this was the first time any such documentation had been requested. It was, to his understanding, contrary to what Hay &amp; Watson had been retained to do. He noted that the task would be enormous. By that point there had been about 170,000 orders. He was of the opinion that what was sought was not relevant to Hay &amp; Watson's retainer and that the request was a delaying tactic on the part of Ms. Wong. He suggested as much in an email to Ms. Wong on February 4, 2009, an email which appears to have been brought to the attention of Ms. Benbaruj.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At trial, Ms. Brennan produced a previously undisclosed exchange of emails. By email dated January 26, 2009 from Ms. Wong to Ms. Brennan, Ms. Wong enclosed a suggested draft of a request to Steven for cost of goods information and requested a response. Ms. Brennan replied with suggestions in an email dated February 3, 2009, which Ms. Wong cut and pasted to create her draft email to Steven. Thus, contrary to Ms. Brennan's testimony that the suggestion to request cost of goods information from Steven originated with Ms. Benbaruj, the suggestion appears to have originated with 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That this is the case is supported by an email from Ms. Benbaruj to Ms. Brennan, sent March 11, 2009,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cost of goods sold, I understand that you have used the back end reports as your supporting documentation. I am not sure how these back end reports work, but as accountants, we can use these as our supporting documentation as long as Myfanwy agrees with these amounts. However, from a managerial point of view, Myfanwy should request documentation to support the amounts on the back end report. Unfortunately, that would be too big a job for us to do and is really beyond our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Ms. Brennan testified that she agreed with Ms. Benbaruj's observation about the scope of the retainer. She agreed that it was never the expectation that Hay &amp; Watson would do an analysis of the cost of goods. The most she was expecting to receive was a sample. However, she agrees that Ms. Wong did not refer to a sample in her request but requested all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However, Ms. Brennan also stated in her testimony that the Perissinottos agreed in February to provide the information once they returned home to Australia. This is contrary to the evidence of the Perissinottos and inconsistent with Ms. Brennan's evidence that she was never expecting to receive the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Nonetheless, in response to the suggestion in Steven's email to Ms. Wong on February 4, 2009, Ms. Benbaruj replied by email, sent sometime between February 5 and 6, 2009, denying that this was a delay tactic and noting that "...the company wants assurance that the Cost of Goods Sold is not materially misstated." Steven responded that as he was in Vancouver at the time, there was nothing he could do about the information requested until he returned to Australia, which would not be until the beginning of March. He noted that the materials would be voluminous. He also wrote that for purposes of the Hay &amp; Watson reconciliation, the figures from the backend were to be used for the cost of goods. He requested at least a preliminary or draft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Turning back to Ms. Wong's testimony, she stated that in January and February 2009, the accountants were still working on the reconciliation. She stated that Ms. Brennan told her that her supervisor would require more information to complete the exercise. She stated that Ms. Brennan told her what was required and that she passed the information along by email dated February 3, 2009 to Steven. This email specifically states that copies of documentation to support the cost of goods were required, and that those documents should include the date of invoice, supplier name, invoice amount and total. It was her evidence that the list came from Hay &amp; Watson, and that she copied it and sent it along to Steven at their request. As mentioned, this evidence appears to be contradicted by the email exchanges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Steven responded to Ms. Wong by email dated February 4, 2009, which stated in part that the cost of goods were to be pulled from the CVT backend. Ms. Wong's evidence was that the response made no sense to her, as the documentary corroboration was something that the accountants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Steven denied that he told anyone from Hay &amp; Watson that when he returned to Australia he would provide the backup for the cost of goods. It was his evidence that he did not provide backup because that was not part of the exercise that Hay &amp; Watson had been engaged to conduct. Mark's evidence was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There was no response from Hay &amp; Watson other than to release the draft report concerning transactions in and out of the bank account by email dated February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Through February and into March 2009, Steven expressed dissatisfaction with respect to many aspects of the relationship between the parties. Steven attempted, without success, to organize a meeting with Ms. Wong to deal with a number of issues including the call centre performance, which continued to be problematic, and the cash flow situation with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From mid-January 2009 through to early March 2009, there were numerous exchanges between Mr. Wong and Steven regarding the issuance of invoices to VSO and pressing for payment. Steven took the position that the invoices did not reflect the discounting and other arrangements reached with Ms. Wong. He also noted that in addition, W3 had not provided the supporting documentation for any invoices, which had been requested more than four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 new issue arose in relation to CVT. W3 stopped paying Ms. Parry's accounts. Ms. Wong testified that starting in the fall of 2008, Ms. Parry stopped making regular visits to the W3 office. It was her perception that Ms. Parry was not performing the work she had been hired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By way of background, Ms. Parry testified that in the period 2004 to 2006 she had worked with Mr. Kumar at Pivotal. She met Mark in the course of this work. Mr. Kumar then called her in early 2007 to assist with Pavillion. She worked then with W3 in that engagement, taking direction from Mr. Kumar. As noted above, she had been part of the discussion in April 2007 concerning moving VSO to W3 hosting. One of her main responsibilities was to coordinate the creative and technical aspects of work to be done on CVT with Ms. Wong and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Ms. Parry testified that she experienced a lot of delay in working with W3 throughout the engagement. She said that often she was made to wait 45 to 60 minutes to meet with Ms. Wong even when the times had been arranged in advance. She found this behaviour to be unprofessional.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On February 12, 2009, Ms. Parry emailed Ms. Wong expressing her profound displeasure with Ms. Wong's handling of their business relationship to date. They were to have had a meeting that week regarding IT projects, website layouts and newsletters for CVT. In response to Ms. Wong's failure to communicate with Ms. Parry on repeated occasions, Ms. Parry stated "I emailed you Tuesday morning, and again the Wednesday...it's now Thursday evening and you confirm Friday, it's too late for me, I'm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have another commitment and it won't work." Ms. Parry also demanded payment on invoices rendered for work done in December 2008 and January 2009 and added "my expectation is that I will be paid and the requirement of needing to ask you several times is not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She stated that during 2008, she observed Marcellus Wong working at reception at W3. It was her evidence that through 2008 and 2009 she met regularly with Ms. Wong, who never expressed any concerns about her work or their professional relationship. She stated that she had no dealings with Marcellus Wong until a meeting in February 2009, which he joined. At that meeting, he raised concerns regarding her performance. Ms. Parry described it as a very unusual meeting which Marcellus led, although she had previously had no business dealings with him. It was her impression that Marcellus behaved in an aggressive, intimidating, inappropriate and unprofessional manner in the meeting. During this meeting, Ms. Wong took the position that Ms. Parry reported to her. Ms. Parry testified that she replied that she reported to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Ms. Wong denied that she was chronically late for meetings with Ms. Parry. It was her evidence that their relations were professional, cordial and friendly. She said Ms. Parry did not wait in reception; she would come directly to Ms. Wong's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Wong agreed that there had been a meeting with Ms. Parry attended by Marcellus. It was her evidence that Marcellus was not aggressive. She said that she had asked Ms. Parry if she was experiencing any personal problems that were interfering with her work, but that Ms. Parry was not being responsive. She stated that Ms. Parry said that if W3 was dissatisfied with her work she would abate her invoice and that Ms. Wong accepted her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Ms. Parry stated that her retainer was with AWI. She never agreed with W3 to abate or forgo payment of her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Ms. Parry followed up on the meeting by providing a detailed response to W3 by email dated February 14, 2009. She stated that W3 never responded. At this time her invoices for December 2008 and January 2009 remained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It appears that Ms. Parry forwarded the email correspondence to Steven, who informed Ms. Wong that he had requested her to raise any concerns about Ms. Parry's performance with him and that Ms. Wong had not done so regarding any of the issues raised in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Eventually Ms. Parry's outstanding invoices were paid by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late February and early March 2009, Ms. Wong emailed invoices for VSO reflecting a revised discount but stating that the invoices must be paid by the due date to claim the discount. Steven testified that this was the first time any such arrangement had been suggested. The requested detailed invoices had still not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an email dated March 2, 2009, Steven notes that they had many issues with the invoices and made another request for the backup documentation. He also makes reference to the fact that the reporting problems for the CVD site had still not been fixed, noting that issue had been outstanding for more than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Steven's evidence was that they had been requesting backup documents for the invoices with respect to VSO and CVD for some time, and that those documents were never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Ms. Wong testified that W3 did provide time records and backup information. She stated that Steven was provided with actual time records of staff time stamped by the server. She stated in the course of her testimony that the time records were in a binder in court; however, there were no such time records introduced into evidence. She stated that when Steven continued to ask for more information, she did not understand what more he could want or get. However, she also stated that the details are stated on the invoices and that clients are usually satisfied with the information provided by the invoices. However, it is clear that the invoices do not contain time records or the information that Steven had been seeking.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With respect to the issue of time sheets, Mr. North testified that during the time he worked for W3 he never recorded his hours and kept no time sheets. He was never instructed by anyone at W3 to keep time records. He did not distinguish when he worked on one website or another. In particular, he did not distinguish between time spent working on VSO or CVD. It was his evidence that throughout his tenure at W3, which ended in May 2010, Ms. Wong never asked him for time records for work done on VSO, CVD or CVT. She never inquired about the details of any work done on those sites. He had no recollection of Ms. Wong asking him to tell her what he did on the sites in the period 2007 to 2009. He denied that he was requested to detail his tasks so that W3 could prepare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When Mr. North's evidence was put to Ms. Wong, she stated that the employees did not manually record their time; rather, this was done automatically by the system when they worked at their terminals. The server records the times and event. This was never put to Mr. North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Ms. Wong agreed that the 300 hours of her time reflected in the invoices was not recorded by the servers.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March 2009, Hay &amp; Watson produced the draft reconciliation which showed that in each year commencing from 2005, Ms. Wong had preferred W3 in the payouts, with the result being that at the end of 2008, W3 had been overpaid by $16,936 and AWI underpaid by $140,365. In addition, Ms. Wong had used $149,732 of CVT funds to pay CVD expenses contrary to the trust provisions of the Profit Sharing Agreement. These amounts needed to be added back to the CVT account and would accordingly increase the amount owed to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By email dated March 10, 2009, Steven wrote to express considerable dismay. In addition, he noted that W3 had unilaterally changed the shipping fee to USD $4.70 from the correct fee of $6.25, and had omitted to pay the fees owing to Ms. Parry.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Ms. Wong's evidence was that she had calculated the $4.70 according to rates that she had looked up to reflect the change in currency. She said she believed those figures reflected a rate of approximately $4.30 to $4.70. She stated that her idea was to use $4.70 to benefit AWI until AWI produced the actual figures to support the shipping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By email dated March 16, 2009 to Ms. Wong, Steven noted that the Hay &amp; Watson report showed clearly that there had been a significant underpayment in relation to CVT. He reminded Ms. Wong that she had previously assured the Perissinottos that this was not the case and that if the Hay &amp; Watson report did show a shortfall, she would make this good. He sought assurance that the shortfall would be paid and sought to organize a conference call to deal with this and other outstanding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Ms. Wong did not make herself available for the conference call. She responded with an email dated March 17, 2009 in which she described the CVT issue as an accounting hiccup that happened during the height of the external attacks in 2007. She requested accounting documents for CVD and concludes "Let's settle the balances for VSO, CVD and [CVT]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Steven responded by email dated March 19, 2009,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relation to canadavetdirect.com, as you know, the starting point for website reconciliations is information from the site backend. Until you fix the problems that I have notified you about on many many occasions, a reconciliation cannot be done. Our accountant is standing by to do this as soon as the reports have been fixed by you. She has been provided with bank statements, edelweiss statements that you refer to. As you know, cost of goods reports come from the backend (and this is the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the vetshop bills, we have asked for supporting information on numerous occasions (ie, what was done, by whom and how long it took etc). You have sent us some very large bills and we are entitled to a detailed explanation of what they relate to. For example, one bill has a component of $43,500 incurred over just a few days! Either you don't understand what we are asking for, or you are deliberately refusing to give it to us. It therefore appears that the only option is for us to set out in written detail what it is we need. We are currently preparing this so there can be no mis-understanding about what our concerns are and allow you to address them so this matter can be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funds owing, you took canadavet.com funds without permission or request and in breach of the canadavet.com agreement, and used it to pay your share of expenses for an unrelated project (CVD). You are obliged to reimburse canadavet.com.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agreement with canadavetdirect.com was that each party would carry some costs. We have been carrying all cost of goods from the beginning for that site. We also carried advertising costs, but as you know, because w3 allowed those costs to blow out, our cards where maxed out. You then agreed to carry some advertising costs. At no time did you say you intended to take Canadavet.com money and use it. As you know, canadavetdirect.com did send you some money in reimbursement of advertising expenses (expenses that we now know you did not incur at all). At any time, you could have said that you could not carry those costs, and other arrangements could have been made. In fact, this is what happened when you said you could no longer carry those costs (which now seems odd, given that it is now clear that you did not use your own money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all this, we remain committed to trying to resolving all issues as soon as possible. For canadavet.com, the next step, is for you to return to the canadavet.com bank account, the funds incorrectly taken by you and transferring to us and to yourself the shortfall up until 2008 shown in the Hay &amp; Watson report. In relation to canadavetdirect.com, w3 needs to fix the reporting so that a reconciliation can be prepared for that site and in relation to the vetshop bills, you need to provide the supporting information we have been asking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Myfanwy, the ball is firmly in your court to move forward in resolving these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ring you tomorrow (Thurs 4:30pm Van time) to discuss the above and the various operational issues we have been trying to discuss with you for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By email dated March 23, 2009, Steven provided a detailed statement of concerns with respect to each of the outstanding VSO invoices. Ms. Wong responded by email dated March 26, 2009, stating that all invoices were prepared with diligence and care, and that all the services were rendered for VSO and tracked separately within W3. The email states that the additional information requested had been provided. Steven responded by email dated March 27 indicating that Ms. Wong's response was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By email dated March 23, 2009, Steven responded to a request from Ms. Wong to set out what steps they considered to be necessary to reach a resolution of the assorted issues. The email states in part:</w:t>
      </w:r>
      <w:r>
        <w:rPr>
          <w:rFonts w:ascii="arial" w:eastAsia="arial" w:hAnsi="arial" w:cs="arial"/>
          <w:sz w:val="20"/>
          <w:lang w:val="en-US" w:eastAsia="en-US" w:bidi="ar-SA"/>
        </w:rPr>
        <w:cr/>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Canadavet.com -The Hay &amp; Watson statements show that as at 31 Dec 08, the canadavet.com cash position was in the Red in the amount of $149,732. This arose from the overpayments by you to w3 and the unauthorized use of canadavet.com money to pay canadavetdirect.com advertising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need to immediately "balance the books" for 2007 &amp; 2008 by repaying to canadavet.com the amounts, wrongfully drawn from canadavet.com, so that the shortfall in distributions as shown on the Hay &amp; Watson draft report ($140,365 to us, and $16,936 to w3) can be made. This should be done this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adequate steps need to be put in place immediately, so that we can all be comfortable that the errors made in the past do not continue. At a minimum, we consider that it is necessary for you to immediately arrange for us to be given viewing access to the canadavet.com accounts and for no money to be deducted from those accounts without our express prior agreement.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Canadavetdirect.com - we agree that a reconciliation should be done for canadavetdirect.com as soon as possible. As we told you, our accountant has everything ready to do this but cannot proceed until the reporting errors in the canadavetdirect.com backend are fixed. Please advise when you anticipate this will be completed.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w3 bills for work done for vetshoponline.com - we are sending you through our comments on these bills by separate email. We need you to carefully look at our concerns and address them so we can get this sorted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Myfanwy, given the fact that in both 2007 and 2008 you overpaid yourself and underpaid us from canadavet.com, and you told us you were paying canadavetdirect.com advertising expenses from your own funds, when in fact you were paying them from canadavet.com money, we really need to sort this out as soon as possible. In the case of canadavet.com, fixing the errors is straightforward and there is no reason it cannot be done immediately.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your written confirmation that you agree to the above by return email. As always, you can ring us any time if you want to discuss any aspect of the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Ms. Wong did not respond. After several more emails were sent to prompt a response, Steven wrote in an email dated April 1,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Myfanwy,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unbelievably frustrated. It has now been 12 days since we spoke to you about what needs to be done to sort out the canadavet.com financial situation. As requested by you, we also set out what we see as necessary in writing.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our repeated requests, you have not given any response whatsoever on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all know that the issue of the CVD financials and the vetshoponline.com bills also needs to be sorted out, however we are waiting on you in that regard so that cannot be used as an excuse to delay fixing the canadavet.com problem (a problem of your making!).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Myfanwy, no business relationship is sustainable if one party simply refuses to communicate or address such a major issue. If you are committed to this relationship, you will immediately make good the canadavet.com shortfall and transfer our entitlement to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Ms. Wong replied by email dated April 2, 2009 stating that she would give a full reply the next day. On April 5, 2009, Steven sent another email noting that there had still been no response, and no repayment of the shortfall.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On April 7, 2009, Ms. Wong finally responded by email, in which she stated in part that there were "funds owed between the various projects [CVT], CVD, W3 and VSO." She characterized the CVT situation as "but a 1.5% unintentional accounting error" and noted that the CVD and VSO invoices had not been paid. Ms. Wong's evidence was that there was an agreement to reconcile all the projects and that, further, it was not appropriate to operate on a draft Hay &amp; Watson report, particularly when the reason it was still draft was the refusal of AWI to provide the documents to complete the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Steven testified that he was very upset by Ms. Wong's response. He felt that Ms. Wong conveyed that she did not feel she had to remedy the situation and that she was trying to deflect attention away from the problem. He felt that the relationship was as good as dead. He had no confidence that she was willing or able to do what needed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the result, AWI issued the following letter to W3: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Agreement between Animal Welfare International Inc (AWI) and W3 International Media Ltd (W3) dated September 12, 2006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W3 is in breach of the above Agreement as follows: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W3 has failed to provide AWI access to the canadavet.com bank account (clause 3.3).</w:t>
      </w:r>
    </w:p>
    <w:p>
      <w:pPr>
        <w:numPr>
          <w:numId w:val="1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W3 has made deductions from the bank account which are not in accordance with the Agreement including as shown in the reports of Hay and Watson (i) making payments to W3 that were in excess of W3's entitlement to profit share under the Agreement (ii) reimbursing itself for costs incurred for advertising attributable to canadavetdirect.com (clause 3.3).</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W3 has failed to make a proper reconciliation of the funds in the bank account, the parties having agreed that the reconciliation would be done monthly (not weekly as initially provided for in the Agreement), including that no reconciliation has been provided for March 2009 and the reconciliation received for February 2009 and earlier months are incorrect (clause 3.2).</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W3 has failed to pay/reimburse expenses namely, failing to pay invoices of Paulette Parry which the parties had agreed where expenses under the Agreement (clause 3.2(a)).</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W3 has failed to pay to AWI all AWI's profit share (clause 3.2(b)) for the 2007 and 2008 calendar years as shown in the reports by Hay and Watson.</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W3 has failed to pay to AWI all AWI's profit share (clause 3.2(b)) for the months of January, February and March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constitutes written notice under clause 4.1(a) of the Agreement requiring W3 to remedy the above breaches of the Agreement within 7 days of receipt of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Ms. Wong responded with an email dated April 18, 2009 stating that she was not available to meet in the week of April 27 and suggested meeting sometime in early May. Ms. Wong wrote by email dated April 22, 2009 that she was seeking legal advice. She did not communicate further and W3 took no steps to address the issues raised in the AWI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On April 30, 2009, AWI issued a Notice of Termination (the "Notice"), which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Agreement between Animal Welfare International Inc (AWI) and W3 International Media Ltd (W3) dated September 12, 2006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W3 is in breach of the above Agreement as set out in our letter to you of 16 April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W3 has not made any attempt to address our concerns or agree to meet with us to discuss them as we have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Regrettably therefore, AWI is left with no option but to terminate the Agreement under clause 4.1(a) for W3's failure to remedy the breaches as set out in the above letter in the time frame required, with such termination to be effective as at 6 PM Thursday 30 April 2009, Vancouver time (the "Termination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clause 4.2 of the Agreement you are required to co-operate for the orderly taking over by us of your obligations under the Agreement. To that end we require you to immediately:</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arrange for the CanadaVet.com phone number 1-877-822-6838 to be redirected so that it terminates at 604-331-6192 on and from the Termination Date.</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arrange for all faxes received by CanadaVet.com fax number 1-800-532-2981 to be forwarded to </w:t>
      </w:r>
      <w:r>
        <w:rPr>
          <w:rFonts w:ascii="arial" w:eastAsia="arial" w:hAnsi="arial" w:cs="arial"/>
          <w:color w:val="000000"/>
          <w:sz w:val="20"/>
          <w:u w:val="single"/>
          <w:lang w:val="en-US" w:eastAsia="en-US" w:bidi="ar-SA"/>
        </w:rPr>
        <w:t>info@canadavet.com</w:t>
      </w:r>
      <w:r>
        <w:rPr>
          <w:rFonts w:ascii="arial" w:eastAsia="arial" w:hAnsi="arial" w:cs="arial"/>
          <w:color w:val="000000"/>
          <w:sz w:val="20"/>
          <w:lang w:val="en-US" w:eastAsia="en-US" w:bidi="ar-SA"/>
        </w:rPr>
        <w:t xml:space="preserve"> on and from the Termination Date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 complete copy of the canadavet.com database as at the Termination Date available for download by us via FTP or burnt on to a DVD and made available for collection.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we continue to have access to the canadavet.com backend with all data current as at the Termination Date for at least the next 30 days. Please provide us with an IP address/URL to access same.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bank statements for the CanadaVet.com account for the months of January, February and March 2009 and provide details of all transactions on that account from 1 April 2009 and statement as to the funds in the canadavet.com account as at the Termination Date.</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to us funds to cover Cost of Goods Sold and Postage and Handling for all orders received up to the Termination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see no reason why you would not be able to comply with all of the above by close of business on Friday 1 April 2009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(Vancouver time). If for some reason you do not agree, we require you to advise us immediately.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contact you again shortly regarding formalizing the transfer of the phone and fax numbers, completion of a full reconciliation as required by clause 4.2(a) of the agreement and all other steps necessary for an orderly transfer.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note that the funds in the canadavet.com account are held on trust under clause 3.4 of the Agreement. Accordingly any dealing with those funds other than in accordance with the Agreement will be a breach of trust and we will hold the W3 and any individuals involved in any such a breach accountable.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Ms. Wong's evidence was that she did not believe the Notice was valid in large part because there was an agreement to resolve the financial issues with all three databases together and the Hay &amp; Watson report was still in draft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Steven denied that he issued the Notice because he did not want to have to provide backup documentation concerning the cost of goods and shipping.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W3 did not deliver any of the items requested in the Notice. Ms. Wong stated that she did not provide them because it was her view that the termination was not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Steven contacted Ms. Wong seeking delivery of the database. She at first agreed, but then later refused to provide it. Instead, W3 cut off public access to the VSO toll-free number, so that instead of customers having their calls forwarded to the call centre, they were played a message stating that the number had been terminated for failure to pay bills. W3 also locked access to the CVD backend. All administrative passwords were changed to the CVD databases so that it was not possible to fill customer orders. Thus, customers could place orders but they could not be filled. Ms. Wong's evidence was that this was an idea she had to encourage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Ms. Wong's evidence was that W3 did not lock out access to the CVT site, but that the IP address for CVT was changed by AWI on April 30, 2009. She stated that by changing the IP address, AWI in effect locked themselves out of CVT. However, whether or not W3 locked AWI out of the CVT backend, it refused to provide the database or the customer lists to AWI, thereby effecting the same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Steven testified that as a result of W3 locking them out of the backend of the CVD database, they had to make a decision about the future of the CVD site. Given the actions of W3, the site was essentially dead and Mr. Kumar agreed that it should be shut down. Customers were advised to take their business to CVT. Steven testified that there were 14,000 CVD customers and $13.90 had been spent to acquire each. W3 kept the customer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AWI responded to W3's actions with a letter from counsel dated May 5, 2009. Shortly thereafter there was a subsequent letter from AWI's counsel noting that W3 was operating the CVT call centre. Mr. Millar stated that W3 had no right to purport to operate the CVT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By May 15, 2009, AWI had re-launched the CVT website. W3 responded with a letter from its counsel asserting that W3 was the exclusive owner of the intellectual property of the CVT site. Demand was made for immediate payment of invoices in the amount of $96,000. However, it was not specified what this might refer to as W3 had rendered no invoices to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By email dated May 19, 2009, Mark informed Mr. Kumar that CVD owed Mark and Steven about $179,000. Mr. Kumar advised that he was owed about $50,000. Steven testified that the consequence of the shutdown was there was no opportunity to pay back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the same timeframe, W3 launched a website called CanaCreek Vets ("CanaCreek") selling pet supplies. To do so, it copied all of the content of the CVT site, including articles written by Mark, as well as the layout, look and feel of the CVT website. The site used the CVT toll-free telephone number. In addition, it sent an email to all customers of CVT containing many false statements. The email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CanaCreek Vets -- Old Friend, New Name!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valued clients,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we started this venture 5 years ago, we had an agreement with a domain owner to use the webname "canadavet.com", and for many years our clients have known us by that name. Unfortunately during the negotiations to renew the name, we were unable to come to a mutually satisfactory agreement with the domain holder. It was decided at that point it would be best that we go forward with the name "Canacreek.com" which we own outright.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come and visit us at "</w:t>
      </w:r>
      <w:r>
        <w:rPr>
          <w:rFonts w:ascii="arial" w:eastAsia="arial" w:hAnsi="arial" w:cs="arial"/>
          <w:b/>
          <w:color w:val="000000"/>
          <w:sz w:val="20"/>
          <w:u w:val="single"/>
          <w:lang w:val="en-US" w:eastAsia="en-US" w:bidi="ar-SA"/>
        </w:rPr>
        <w:t>Canacreek.com</w:t>
      </w:r>
      <w:r>
        <w:rPr>
          <w:rFonts w:ascii="arial" w:eastAsia="arial" w:hAnsi="arial" w:cs="arial"/>
          <w:color w:val="000000"/>
          <w:sz w:val="20"/>
          <w:lang w:val="en-US" w:eastAsia="en-US" w:bidi="ar-SA"/>
        </w:rPr>
        <w:t>"... book mark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still the same great people that you know.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same premium pet products that you use...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at the low prices that you LOVE!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you visit our new website at CanaCreek.com you will notice that we still carry premium pet products, including pet prescription meds. We are still located at the same address in Canada. We have the same toll free phone and fax numbers, and the same service personnel you've grown to trust. For those of you that have already ordered from us before, we still have your client profiles, account information and your logins are preserved.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Rediscover our products and services NOW!, use coupon code: SRP265 to get $4.00 off your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Hurry! This offer is only good until Saturday May 30th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invite you to rediscover our service, now with a new banner: </w:t>
      </w:r>
      <w:r>
        <w:rPr>
          <w:rFonts w:ascii="arial" w:eastAsia="arial" w:hAnsi="arial" w:cs="arial"/>
          <w:b/>
          <w:color w:val="000000"/>
          <w:sz w:val="20"/>
          <w:lang w:val="en-US" w:eastAsia="en-US" w:bidi="ar-SA"/>
        </w:rPr>
        <w:t>Canacreek Vets</w:t>
      </w:r>
      <w:r>
        <w:rPr>
          <w:rFonts w:ascii="arial" w:eastAsia="arial" w:hAnsi="arial" w:cs="arial"/>
          <w:color w:val="000000"/>
          <w:sz w:val="20"/>
          <w:lang w:val="en-US" w:eastAsia="en-US" w:bidi="ar-SA"/>
        </w:rPr>
        <w:t xml:space="preserve"> at </w:t>
      </w:r>
      <w:r>
        <w:rPr>
          <w:rFonts w:ascii="arial" w:eastAsia="arial" w:hAnsi="arial" w:cs="arial"/>
          <w:b/>
          <w:color w:val="000000"/>
          <w:sz w:val="20"/>
          <w:u w:val="single"/>
          <w:lang w:val="en-US" w:eastAsia="en-US" w:bidi="ar-SA"/>
        </w:rPr>
        <w:t>CanaCreek.com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team at CanaCreek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note, the website that is now using the domain name Canadavet.com is </w:t>
      </w:r>
      <w:r>
        <w:rPr>
          <w:rFonts w:ascii="arial" w:eastAsia="arial" w:hAnsi="arial" w:cs="arial"/>
          <w:color w:val="000000"/>
          <w:sz w:val="20"/>
          <w:u w:val="single"/>
          <w:lang w:val="en-US" w:eastAsia="en-US" w:bidi="ar-SA"/>
        </w:rPr>
        <w:t>NOT affiliated</w:t>
      </w:r>
      <w:r>
        <w:rPr>
          <w:rFonts w:ascii="arial" w:eastAsia="arial" w:hAnsi="arial" w:cs="arial"/>
          <w:color w:val="000000"/>
          <w:sz w:val="20"/>
          <w:lang w:val="en-US" w:eastAsia="en-US" w:bidi="ar-SA"/>
        </w:rPr>
        <w:t xml:space="preserve"> with us (</w:t>
      </w:r>
      <w:r>
        <w:rPr>
          <w:rFonts w:ascii="arial" w:eastAsia="arial" w:hAnsi="arial" w:cs="arial"/>
          <w:b/>
          <w:color w:val="000000"/>
          <w:sz w:val="20"/>
          <w:lang w:val="en-US" w:eastAsia="en-US" w:bidi="ar-SA"/>
        </w:rPr>
        <w:t>Canacreek Pets</w:t>
      </w:r>
      <w:r>
        <w:rPr>
          <w:rFonts w:ascii="arial" w:eastAsia="arial" w:hAnsi="arial" w:cs="arial"/>
          <w:color w:val="000000"/>
          <w:sz w:val="20"/>
          <w:lang w:val="en-US" w:eastAsia="en-US" w:bidi="ar-SA"/>
        </w:rPr>
        <w:t>). You will also notice subtle differences in products, and more importantly they do NOT have access to your private account information. Please be careful when giving out your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response to that email to customers, AWI received correspondence from some customers accusing it of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Ms. Wong testified that CanaCreek was launched in an effort to mitigate W3's losses. She stated that W3 operated it during the period of trailing profits as per the Profit Sharing Agreement. She said that the site was never profitable.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Ms. Wong's evidence was that the email to CVT customers was Marcellus Wong's idea. She said that W3 was in desperate straits and was now faced with a termination that she did not believe was valid. She was left with nothing after all her work. She felt she had to do something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Marcellus Wong's evidence was that he learned that CVT was intending to start a new site from alerts that were posted on April 30, 2009 and the next morning. It was his evidence that as soon as he saw that they were moving on, he formed the conclusion that W3 also had to mitigate and move on. He formed this conclusion on May 1, 2009 and immediately took steps to create a new site. He asked his developers to look at the CVT site and see what could be used. He registered domain names, some of which were never used. He stated that the process to develop the site commenced around May 2 or 3, 2009 and the site was launched May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It was his evidence that Ms. Wong did not tell him that she had taken funds to which she was not entitled. He stated that he had not seen the "remedy the breach" letter. He may have seen the Notice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Ms. Wong testified that W3 started to set up CanaCreek sometime after they saw CVT come back up with a new website. She also stated that it was started around the time they received the writ of summons in this matter, which would have been around May 20. She said that the staff sat around for two weeks, doing nothing, waiting to see what could be done. However, when pressed, she agreed that W3 had taken out the registration for the CanaCreek URL in early May. She also agreed that they did reserve domains but insisted that they took no steps to construct anything. She stated that it took about two weeks to create the CanaCreek site. She agreed that the site was created by copying the CVT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When confronted with a May 19, 2009 email from Mr. Wong stating that CanaCreek was fully operational, Ms. Wong then stated that it was her recollection that the creation of CanaCreek was in response to seeing CVT operational, but perhaps others were working towards the project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accept the evidence of Mr. Wong with respect to the timing of steps to set up CanaCreek, that is that W3 began active steps to establish the website, copying the material from the CVT site to do so, shortly after April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Ms. Wong agreed that until September 2009, CanaCreek used the Monaris merchant bank account that had been created for CVT without advising Monaris of any change. She agreed that customers who purchased from CanaCreek using a credit card would receive a statement that reflected a purchase from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By letter dated May 29, 2009, AWI's counsel demanded that W3 cease and desist its CanaCreek operations. W3 did not, but rather continued operations to 2011. In addition, by June 1, 2009, W3 had suspended the VSO and CVD toll-free numbers. Ms. Wong testified that the toll-free numbers were shut down because there were outstanding invoices, including disbursements from the entire period to April 2009 that had not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In July 2009, GDS received a communication from St. George Bank stating that W3 was seeking the return of $91,000USD it had remitted in April 2009, stating that it had paid the amount in error. That would have represented payments for shipping and cost of goods advanced prior to the termination. The bank did not return the funds to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Ms. Wong acknowledged that she caused the advice to be sent to the bank. She acknowledged that at the time the payment was made, she believed it to have been proper. It was her evidence that she cannot recall what she told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AWI manually reclaimed names, mailing addresses and email addresses for about 40,000 customers from invoices it had on hand for orders; however, it was not able to recover information for approximately 50,000 other customers who had been on the database.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Post-2009 - The Database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As noted, after the termination of the Profit Sharing Agreement, W3 did not deliver the database to AWI. Whether it was because it had changed the IP address for the CVT site or because W3 had locked it out of the database, the result was that AWI had no way to access the CVT database following the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There can be no doubt that the database was a document that W3 was required to list and produce in this litigation. However, W3 refused to produce the database until required to do so by order of the court. Even then, as will be noted below, W3 did not comply with the order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One result was the creation of a contentious and time-consuming issue in the trial. The claims advanced by W3 in its defence and counterclaim relied upon data from the database. Since the data in the database could be manipulated and had been in the exclusive possession of W3, the question of its admissibility and, if admitted, the weight to be given to such evidence was a matter of considerable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In reasons indexed at </w:t>
      </w:r>
      <w:hyperlink r:id="rId982" w:history="1">
        <w:r>
          <w:rPr>
            <w:rFonts w:ascii="arial" w:eastAsia="arial" w:hAnsi="arial" w:cs="arial"/>
            <w:i/>
            <w:color w:val="0077CC"/>
            <w:sz w:val="20"/>
            <w:u w:val="single"/>
            <w:shd w:val="clear" w:color="auto" w:fill="FFFFFF"/>
            <w:lang w:val="en-US" w:eastAsia="en-US" w:bidi="ar-SA"/>
          </w:rPr>
          <w:t>2013 BCSC 2193</w:t>
        </w:r>
      </w:hyperlink>
      <w:r>
        <w:rPr>
          <w:rFonts w:ascii="arial" w:eastAsia="arial" w:hAnsi="arial" w:cs="arial"/>
          <w:color w:val="000000"/>
          <w:sz w:val="20"/>
          <w:lang w:val="en-US" w:eastAsia="en-US" w:bidi="ar-SA"/>
        </w:rPr>
        <w:t>, I ruled that the "Database Discs", each purporting to contain an electronic copy of what W3 states is the entire CVT pre-termination database in its original format, had been sufficiently authenticated and met the requirements of threshold reliability. I concluded that the potential for error identified by AWI is a matter that goes to weight and not admissibility. The following section summarizes the evidence with respect to the issue of the database.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As noted, W3 did not deliver a copy of the database until ordered to do so during the course of the litigation. Even then, W3 did not produce a complete copy of the database. The first version provided was a PDF document that was not a workable version as it was not machine readable.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 second version was then provided in May 2012. Mark testified that this version was incomplete. There were only about seven tables. Important information was missing that he knew should have been there. A third version was then delivered that was still incomplete, including missing a cost of goods table. W3 was notified, and another incomplete version was 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Mark testified that, for example, when he looked at the report Product Size that listed all products sold, in the copy he received there are columns for cost and retail price; however, in each case the entry in the columns was zero so it was not possible to determine the cost of the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It was not until November 2012, shortly before trial, that what purported to be a complete version was delivered to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W3 was contacted through counsel with questions regarding the database. Mark testified that he was advised that the cost of goods was to be found in a table called "Packagesizepharmacy". He said there were columns by code in that table that contained an entry for cost of goods. However, the entries in that table did not make sense. After every item there was a column that showed when the cost was last modified. Many of the dates indicated that the prices had not been changed since 2005, despite the fact that they should have been updated during the course of the venture. Some costs of goods showed that they had been modified April 30, 2009, which should not have been the case, as there was no reason for prices to have changed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There was no table in the database similar to Mark's Excel spreadsheet. It was his testimony that he has no confidence that the database results are accurate, particularly with respect to historical prices. The closest table was the Product Size table which had the zeroes for cost of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With respect to the issue of the CVT database, Ms. Wong testified that she instructed a technician to copy the database and supervised that operation. She stated that the copy produced was an unaltered copy of the pre-termination database, though there was the possibility that some refunds and "a few minor updates" might have been added post-April 30, 2009. Ms. Wong testified that since April 30, 2009, she has logged into the database from time to time to prepare reports, but noted that this would not change or alter the database. It was her evidence that since April 30 the only other people at W3 who could log on to the database are Jessie Huang, a programmer, and Patrick Sharp, the network administrator. It was her evidence that she has not altered the database and has not instructed Ms. Huang or Mr. Sharp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Mr. Sharp testified that there were two methods of changing the cost of goods in the database, either through an uploadable Excel spreadsheet that would be filled in by Mark and then uploaded by W3, or through the Pharmacy administrator to update a particular price or cost. He stated that to his knowledge, no one at W3 changed the wholesale costs by accessing the Pharmacy administrator. He did not do so and did not instruct anyone at W3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Mr. Sharp testified that the CVT database was still on the original server in the W3 server room and still active and able to generate reports. He stated that so far as he is aware, the database had not been altered since April 30, 2009 except for a few straggling customers calling in to cancel orders. A backup copy was made in November 2009 that resides on a separate server. A copy was made in June 2012 from the original live database. Another copy was made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To verify the integrity of the database, the database was compared against contemporaneous monthly summaries, with the comparison looking at revenue, cost of goods, and orders shipped. The end result was a very close match subject to certain adjustments which were said to have been made to account for refunds and the adjustment that occurred in May 2006. In addition, the size of the databases was compared.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Ms. Jessie Huang joined W3 in March 2008 as a full-time employee, and at the time of trial was employed on a part-time basis at W3. Her main duties until April 2009 were in connection with the CVT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Ms. Huang testified that after termination, Ms. Wong instructed her to pull the CVT sales data from its inception to April 2009, month by month. She created 45 Excel files - one for each month of the project. She zipped these into five files and emailed them to Ms. Wong. These match the documents sent to Wolrige Mahon, a firm of chartered accountants. She stated that this document was created in 2010 and was unlike any report normally prepared in the course of CVT's business. She stated that she devised the script to produce the documents. The script did not consider refunds. She later wrote a different script that did consider refunds. She could not recall the exact script she wrote with respect to that query, other than to say that test data entries were not included; however, it is clear from the printout that such entries were included in the query.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She stated that Ms. Wong asked her to pull all customer information from the CVT database and put it onto an Excel file. She did so and then emailed the spreadsheets to Ms. Wong. The total was in excess of 100,000 customers. She stated that she checked the first and last pages of the file she prepared against the file on her server. She compared the total of lines and the first and last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She was asked to pull out all the detailed information concerning full and partial refunds. Ms. Wong then asked her to pull the shipping date and order date information regarding all refunds requested, with the information to be sorted by whether those dates were in the same or different months. Ms. Huang created four such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She was also asked to pull out changes in the price and cost of goods for eight products. She described her process of exercising judgment and applying "filters" in making the requests to query the database to obtain the desired results. For example, there could be variables affecting results such as where discounts were given or coupons used, or where the customer changed the order and the price had to be guaranteed to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Ms. Huang stated that in April and May 2012, Ms. Wong gave her instructions regarding copying the pre-termination database several times. She stated that she is certain Ms. Wong did not ask her to copy the database onto a disk. She did instruct her to make a backup of the database. Burning a copy of the database would have been the duty of Mr. Sharp.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She did recall that Ms. Wong told her to save to the server only selected tables and files from the database, which she did. Ms. Wong had told her that this was what the lawyer required or needed but did not show her the order. She said that she only selected the files Ms. Wong told her to select. She had no idea who actually burned those files onto a disk.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Several of the fundamental issues to be resolved in this litigation are matters arising from what Ms. Wong has asserted were representations made by the Perissinottos or agreements reached by the parties in oral communications. In particular, she has asserted that the Perissinottos represented that the costs of goods and shipping for the purpose of the Profit Sharing Agreement were to be the actual costs associated with each item. She asserts that this representation was accepted by W3 and formed the basis of the agreement regarding CVT. She asserts in addition, that the parties agreed in relation to the operation of that site that there was to be a yearly reconciliation performed by the accountants addressing,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cost of goods, shipping and foreign exchange. The Perissinottos deny each of these assertions and, with the exception of W3's submissions concerning the construction of the Profit Sharing Agreement, reference to them is absent in the documents before me. Thus, the assessment of the credibility of the parties assumes considerable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w:t>
      </w:r>
      <w:r>
        <w:rPr>
          <w:rFonts w:ascii="arial" w:eastAsia="arial" w:hAnsi="arial" w:cs="arial"/>
          <w:i/>
          <w:color w:val="000000"/>
          <w:sz w:val="20"/>
          <w:lang w:val="en-US" w:eastAsia="en-US" w:bidi="ar-SA"/>
        </w:rPr>
        <w:t>Stenner</w:t>
      </w:r>
      <w:r>
        <w:rPr>
          <w:rFonts w:ascii="arial" w:eastAsia="arial" w:hAnsi="arial" w:cs="arial"/>
          <w:color w:val="000000"/>
          <w:sz w:val="20"/>
          <w:lang w:val="en-US" w:eastAsia="en-US" w:bidi="ar-SA"/>
        </w:rPr>
        <w:t>], provided the following useful discussion of the assessment of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 Ultimately, the validity of the evidence depends on whether the evidence is consistent with the probabilities affecting the case as a whole and shown to be in existence at the time... [Internal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Turning first to Ms. Wong, one important factor in the assessment of her credibility is what the evidence discloses about her honesty in the time leading up to her testimony in court. The record is troubling.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It is clear from the Hay &amp; Watson reports, and acknowledged by Ms. Wong, that during the course of the CVT project, Ms. Wong took funds from that account and used them to pay expenses that W3 had taken on in relation to CVD. She knew she was not supposed to do so. She did not tell Mark and Steven what she had done. When the subject was raised by them, she repeatedly denied having any knowledge of the source of the shortfall.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It is also evident that from the outset of the CVT project, Ms. Wong, who was in control of the bank account, preferred W3 over AWI with respect to the distributions.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Ms. Wong sought assistance from the Vancouver Police Department in connection with what she believed were external attacks on the sites. She was advised in January 2008 in relation to the VSO site that because W3 did not own or operate the VSO site, W3 could not initiate a complaint. In June 2008, she contacted Detective Mark Fenlon to seek assistance with respect to what were believed to be attacks concerning the CVD and CVT sites. She stated that W3 media "owns and operates" those sites, knowing that statement to be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Ms. Wong advanced a claim totalling in excess of $150,000 in this litigation in relation to the "replacement invoices" that she knew to be baseless. The claim was only withdrawn in the course of her examination-in-chief.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Following the termination of the Profit Sharing Agreement, Ms. Wong approved an email sent to the customers of CVT containing many false statements about the contractual issues with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Ms. Wong's evidence was frequently at odds with the documents before me. For example, Ms. Wong asserted W3 did not have a copy of the VSO database on its servers in 2005; however, in an email dated June 30, 2005, Mr. Vo described running a script to grab product information from VSO to speed up the process of uploading products for CVT. Ms. Wong initially testified that she simply relied upon Mark's assertions regarding the discrepancy discovered in the cost of goods calculation for CVT in 2006; however, this is at odds with the documents which reflect the fact that she conducted her own investigation and came to a somewhat different conclusion with respect to the amount at issue. Ms. Wong testified that she refrained from issuing invoices during the Pivotal litigation at Steven's request. However, in a November 27, 2007 email, she stated that she had been too busy and had not had time to prepare invoices. Ms. Wong stated that the parties had orally agreed to renew the Profit Sharing Agreement in January 2009; again, this is not consistent with the documents, in particular her email request in February that the matter be placed on the agenda for an upcoming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Ms. Wong's evidence about discussions and agreements between the parties about matters at issue are, for the most part, not reflected in the documents. For example, she testified that the parties agreed to the annual accounting reconciliation exercise that she described, that there were numerous subsequent discussions about the exercise, and that the work Hay &amp; Watson was undertaking in the fall of 2008 was in relation to this exercise. However, there is not a single reference in any of the documents, including the Profit Sharing Agreement, to such an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my view, this is simply not plausible, particularly given the number of emails these parties exchanged and the range of subjects discussed at length in those communications. I note in addition that her evidence on this subject is also contrary to Ms. Brennan's evidence with respect to her understanding of the Hay &amp; Watson retainer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Ms. Wong's evidence shifted frequently, creating the impression that it was being tailored. In the result, I have come to the conclusion that Ms. Wong's evidence is not a credible and reliable account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By contrast, I concluded that Mark and Steven Perissinotto were credible witnesses whose evidence was an honest and generally reliable account of the events at issue. Their evidence was generally consistent with the documentary evidence and in particular, with the contemporaneous emails exchanged by the parties. They were responsive witnesses who appeared to be doing their best to provide accurate and reliable evidence. In the result, I prefer their evidence where it differs from the evidence of 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As noted above, Mr. Vo was the person most involved with VSO prior to the start-up of CVT and with the early operations of that site. He is a former employee of W3 so is now independent of the parties. The parties agree that he was present at the meeting where Ms. Wong alleges that Mark made the statements about actual costs. To a somewhat lesser extent, Mr. Koshi was also involved in the start-up of CVT and possibly present at early meetings concerning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AWI seeks to have the court draw an adverse inference for the failure of W3 to call Mr. Vo and Mr. Koshi as witnesses at trial. Counsel submits that the court should conclude that the evidence of Mr. Koshi and Mr. Vo would not support the evidence of Ms. Wong and the case of W3 and would be contrary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31, stated the general proposition concerning adverse inferences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general proposition long applied in British Columbia, stated by Mr. Justice Davey in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is that an inference adverse to a litigant may be drawn if, without sufficient explanation, that litigant fails to call a witness who might be expected to give supporting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Cranewood v. Norisawa</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xml:space="preserve"> at para. 127, Mr. Justice Cohen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 The law also establishes that such an inference is appropriate only on certain conditions: an adverse inference is not permissible unless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has been established: see </w:t>
      </w:r>
      <w:r>
        <w:rPr>
          <w:rFonts w:ascii="arial" w:eastAsia="arial" w:hAnsi="arial" w:cs="arial"/>
          <w:i/>
          <w:color w:val="000000"/>
          <w:sz w:val="20"/>
          <w:lang w:val="en-US" w:eastAsia="en-US" w:bidi="ar-SA"/>
        </w:rPr>
        <w:t>Alavinejad v. Farimani</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[1991] B.C.J. No. 3936</w:t>
        </w:r>
      </w:hyperlink>
      <w:r>
        <w:rPr>
          <w:rFonts w:ascii="arial" w:eastAsia="arial" w:hAnsi="arial" w:cs="arial"/>
          <w:color w:val="000000"/>
          <w:sz w:val="20"/>
          <w:lang w:val="en-US" w:eastAsia="en-US" w:bidi="ar-SA"/>
        </w:rPr>
        <w:t xml:space="preserve"> (9 August 1991), Vancouver Registry No. A903100 (B.C.S.C.); an inference should not drawn if the witness is equally available to both parties: see </w:t>
      </w:r>
      <w:r>
        <w:rPr>
          <w:rFonts w:ascii="arial" w:eastAsia="arial" w:hAnsi="arial" w:cs="arial"/>
          <w:i/>
          <w:color w:val="000000"/>
          <w:sz w:val="20"/>
          <w:lang w:val="en-US" w:eastAsia="en-US" w:bidi="ar-SA"/>
        </w:rPr>
        <w:t>Lambert v. Quinn</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(1994), 110 D.L.R. (4th) 284</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A witness's availability to the parties is not necessarily determined by reference to whether the parties have a like opportunity to serve the witness with a subpoena; rather, it may be determined by reference to the nature of the relationship between the witness and one of the parties: see </w:t>
      </w:r>
      <w:r>
        <w:rPr>
          <w:rFonts w:ascii="arial" w:eastAsia="arial" w:hAnsi="arial" w:cs="arial"/>
          <w:i/>
          <w:color w:val="000000"/>
          <w:sz w:val="20"/>
          <w:lang w:val="en-US" w:eastAsia="en-US" w:bidi="ar-SA"/>
        </w:rPr>
        <w:t>Caplan Builders Ltd. v. Royal Bank of Canada</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[1988] B.C.J. No. 327</w:t>
        </w:r>
      </w:hyperlink>
      <w:r>
        <w:rPr>
          <w:rFonts w:ascii="arial" w:eastAsia="arial" w:hAnsi="arial" w:cs="arial"/>
          <w:color w:val="000000"/>
          <w:sz w:val="20"/>
          <w:lang w:val="en-US" w:eastAsia="en-US" w:bidi="ar-SA"/>
        </w:rPr>
        <w:t xml:space="preserve"> (available on QL)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the present case, Mr. Vo was clearly knowledgeable about the matters at issue. He was present in the conference call during which Ms. Wong claims the representations concerning costs were made. He was the prime contact between AWI and W3 in relation to VSO when it was hosted through Pivotal and until the fall of 2007. Until he left W3's employ, he was the prime contact between W3 and AWI on the CVT project. Mr. Vo may not only have been a knowledgeable witness, but also an independent witness, and as such his evidence would have been most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Mr. Koshi was also knowledgeable and independent, but he does not appear to have been as central to the matters that comprise the heart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Mr. Vo was on W3's witness list prior to trial. W3 did not provide any explanation for not calling him. While, as W3 submits, it was open to AWI to call Mr. Vo, as noted Mr. Vo was on W3's witness list presented before trial. It only became clear that W3 did not intend to call Mr. Vo after the plaintiff's case was closed. In any event, W3 had been asked for Mr. Vo's address but did not provide it. In the circumstances it is understandable why AWI would not have called Mr. Vo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However, the evidence does not go so far as to establish that W3 alone could have brought the evidence of Mr. Vo and Mr. Koshi before the court. Both are no longer employees of W3. On the evidence, it cannot be assumed that they could reasonably be expected to testify in support of W3's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In the present case I am not persuaded that it is appropriate to draw the adverse inference sought by AWI with respect to W3's failure to call Mr. Vo and Mr. Koshi. However, that is not the end of the matter. While I am not prepared to draw an adverse inference, I note that the absence of their evidence removes a potential source of corroborating evidence for Ms. Wong's testimony in circumstances in which, as noted, I have found her evidence to be neither credible nor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Claims Relating to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parties advance an interlocking set of claims and counterclaims concerning CVT. The first claim that I will address is part of the counterclaim of W3 alleging fraudulent and negligent misrepresentation. I address this claim first because it relates to actions that are first in time, since W3 alleges that it was induced to enter the Profit Sharing Agreement by false representations. W3 also alleges that the fraudulent misrepresentations provide a defence to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W3 alleges the following false representations were made to induce W3 to enter into the Profit Sharing Agreement with AWI:</w:t>
      </w:r>
      <w:r>
        <w:rPr>
          <w:rFonts w:ascii="arial" w:eastAsia="arial" w:hAnsi="arial" w:cs="arial"/>
          <w:sz w:val="20"/>
          <w:lang w:val="en-US" w:eastAsia="en-US" w:bidi="ar-SA"/>
        </w:rPr>
        <w:cr/>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[AWI] would source and provide product for the Canadavet.com website business without any mark-up or profit on the best terms/prices and at wholesale cost;</w:t>
      </w:r>
    </w:p>
    <w:p>
      <w:pPr>
        <w:numPr>
          <w:numId w:val="3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packaging and shipping of product would be expensed to Canadavet.com without any mark-up or profit on the best terms/prices and at wholesale cost; [and]</w:t>
      </w:r>
    </w:p>
    <w:p>
      <w:pPr>
        <w:numPr>
          <w:numId w:val="3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the Profit-Sharing Agreement, that the pricing information provided to W3 International reflected the true actual cost of product and packaging and shipping without any mark-up or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note at this point that considerable attention was directed at trial to allegations that AWI made false representations about its composition in the proposal provided to W3 in April 2005. AWI's position is that these were mere invitations to treat. I conclude that these statements are essentially irrelevant to any claim because W3 does not assert that it suffered a loss because it was induced to enter the Profit Sharing Agreement. Rather, its complaint is that it properly should have made even more profit than it did. Thus it is not alleged that these representations, if they were in fact representations, caused W3 to suffer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W3 argues that AWI made false representations with respect to cost of goods and shipping costs and that these representations were relied upon by W3 in calculating and remitting to AWI the amounts for reimbursement of expenses pursuant to the Profit Sharing Agreement. As noted, W3 submits that the false representations constitute a complete defence to the allegations of breach of contract and form the basis for the counterclaim by W3. AWI denies that either Mark or Steven made the alleged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W3 submits that the false representations were that the cost of goods supplied by AWI represented the actual price that AWI paid to acquire each good and that the shipping costs represented the actual costs incurred to ship the individual items. Ms. Wong testified that Mark had told her that cost of goods would be the actual cost in a pre-contractual meeting. Mark denies the conversation. As noted earlier, I did not find Ms. Wong to be a credible witness and do not accept her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Mr. Vo and possibly Mr. Koshi were present for all or part of the meeting at which Ms. Wong asserts the representations were made. Mark has testified that the majority of the discussion concerning these matters was with Mr. Vo. Mr. Vo could have been a source of corroboration for Ms. Wong's assertions, but the court did not have the benefit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Ms. Wong claims a very precise recollection of the language used. I find such recollection of a conversation that occurred in 2005 somewhat unlikely and, in any event, inconsistent with Ms. Wong's recollection regarding other matters in this litigation. I heard the Perissinottos testify over the course of many days and have reviewed hundreds of their emails in the course of the trial. Simply put, the language Ms. Wong described so precisely does not sound to me consistent with what I would expect from either Mark or Steven.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 addition, I conclude that it is implausible that the Perissinottos would have made such representations. I accept their evidence with respect to the organization of their business prior to the CVT project. They acquired goods from many suppliers that were housed in one warehouse servicing several websites. Therefore it was not practicable to track the costs of individual goods for any particular website. There is no suggestion from the documents produced in the litigation that goods were tracked by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While it may well have been possible to organize their business in a different way that would facilitate such tracking, I accept their evidence that they did not intend to restructure the way the business was organized for this one project. I accept that they would never have agreed to cost of goods being the actual cost incurred by AWI with respect to the acquisition of each item because such an approach was incompatible with the way they had organized their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Counsel for W3 has alleged a conspiracy and suggests that the whole course of conduct was directed to inducing W3 to contract and then reaping secret profit as a result of the continuing false representations. I am simply not satisfied that there was any such intention or course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Counsel for W3 submits that the motivation was "secret profit" that amounted to over $2.9 million. Counsel submits that this evidence is "uncontroverted". As will be discussed at greater length below, this statement is somewhat ambitious.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W3 bases its submissions concerning "secret profit" upon the expert reports introduced into evidence. It is the case that AWI did not file expert reports in response. In that sense, it is the case that the evidence is uncontroverted. However, the real question is whether or to what extent the evidence supports the contention. In other words, what weight should be given to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AWI made submissions with which I am in substantial agreement with respect to the limited weight to be given to the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With respect to the cost of goods, the expert reports introduced into evidence pre-suppose that the agreement between AWI and W3 was that AWI was only entitled to reimbursement of the "actual costs of goods" and "actual cost of postage and handling". The expert reports advance a conclusion that AWI was reimbursed more than the "actual cost of goods" and "actual cost of postage and handling" and make a positive assertion that there has been an "overstatement of product costs" or the inclusion of a "mark-up" by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However, as will be discussed in a later section, I have concluded that the agreement assumed by the experts in preparing their reports was in fact not the agreement between the parties. In any event, the expert reports themselves do not purport to calculate "actual cost", but rather undertake some averaging and extrapolation exercise to provide an approximation of sorts. This approximation establishes neither the actual cost of goods nor that Mark's price lists did not conform to his representation concerning their 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Hay &amp; Watson conducted its analysis based upon a selection of products. The report does not identify which invoices were selected, who selected them or on what basis. Ms. Benbaruj states that the analysis is not scientific or statistical because the documentation is neither complete nor random.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 Wolrige Mahon report relies upon certain sales reports, which I understand to be the Excel files which Ms. Huang gave evidence that she prepared by extracting pre-termination customer information and sales data from August 2005 to April 2009 derived from the database and contained on disks (the "Sales Reports"). These files were admitted over objection. Despite their admission, AWI submits that the Sales Reports are unreliable and should be given no weight. The Sales Reports were extracted from the database by running "scripts" or "queries", written in a specific database query computer language. The writing of such scripts requires skill, and errors in the script can result in inaccurate or incomplete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Ms. Huang testified that when writing and running the scripts, she did not know the purpose for which the resulting data would be used. The data that she extracted formed the basis of the experts' analysis. The validity of that analysis depends in large part on the accuracy and appropriateness of the extraction. It is difficult to assess this. However, there is evidence that not all information was extracted correctly. Ms. Huang also testified that when writing scripts, it usually takes a few attempts to get a result with which the writer is satisfied. Indeed, during Ms. Huang's testimony she admitted to changing scripts at Ms. Wong's request when the queries performed did not produce what Ms. Wong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In cross-examination, Ms. Huang refused to accept that she could make an error when running a script, even in the face of the written confirmation from counsel for W3 to counsel for AWI that she had made scripting errors. Ms. Huang also refused to accept that the Sales Reports extracted from the CVT database included test orders, despite the first page of the sales report including two test orders. The inclusion of those test orders alone indicates that the Sales Reports have limited utility in determining the orders shipped or cost of goods, as any results would include those, and possibly more, test orders between August 2005 and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It is also of note that the Sales Reports included "NULL" entries, which was not explained and impacts the accuracy of those reports. Lorna Goertz, an accountant at Wolrige Mahon, appears to have quantified the products which had a NULL value, showing cost of those goods at $201,317.00. It is not likely, given how the parties uploaded product information in bulk, that no cost price was included for these products. AWI submits that this suggests that the underlying data was modified at some time post-2009, or alternatively, that the data has been extracted incorrectly.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Further, neither Ms. Huang nor anyone else provided testimony or evidence that the Sales Reports included all relevant data required to be analyzed to determine the total sales and total cost of goods. Indeed, the Sales Reports produced do not correlate with the backend pharmacy administrator reports for CVT relied upon by the parties and Hay &amp; Watson. For example, the Wolrige Mahon Expert Report shows a total cost of goods sold of $12,450,927.00, while the Sales Reports data shows a total cost of goods of $11,355,650.00, a discrepancy of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AWI submits that Ms. Wong's exercise in running reports, adding figures back into calculations, and estimating cut-off dates without a solid basis for doing so, which she described in her testimony, is a "self-serving attempt at information manipulation", and that it is hardly surprising that Ms. Wong, after adding back certain figures which she determined appropriate, came to figures which were in her view "close enough". AWI also notes that there are serious concerns regarding the chain of custody of these documents and whether they have been altered. The most concerning example of which is the metadata for these files, which states that they were last modified in September 2012, while earlier iterations of the files have a last modified date of October 2010. It appears, on its face, that these files have undergone some modification, the nature of which is impossible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Further, neither Ms. Benbaruj nor Ms. Goertz reviewed any part of the CVT database firsthand, electing instead to accept extracts provided by 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As noted earlier, I admitted the Database Discs over objection. That is not to say however, that there is not a cloud of doubt with respect to the database. Responsibility for that cloud rests squarely at the feet of W3. The data in the database is susceptible to change and manipulation. After the termination, W3 retained the database. Despite the rules of court and orders of the court, W3 did not provide what is asserted to be a complete copy of the database to AWI until the eve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W3 thus had the database and the ability to change it. Witnesses testifying for W3 assert that it did not do so. There is some level of comfort to be drawn from the evidence concerning the size of the files. However, this provides only partial assurance because it would be possible to change, for example, a cost while the size of the file would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There is some assurance to be had from the testimony of Mr. Sharp and Ms. Huang that they had not altered the contents of the database. However, I take no comfort from Ms. Wong's assurances in that regard, given her behaviour in the business relationship and during the litigation and my reservations with respect to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W3 produced in the course of its case, some analysis which as noted provides some support for the integrity of the data. However, the utility of such evidence is limited by the timing of its production and the fact that it was never put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Overall, I do not accept AWI's submission that no weight should be given to the evidence given the concerns about the integrity of the database. I agree with the submission of W3 that AWI has not proved that the database was tampered with. However, I am left with significant doubts about the integrity of the database.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Concerns as to the integrity of the database logically lead to concerns regarding the integrity and accuracy of the extracted data. Mark identified a number of clear concerns regarding the database itself in his testimony. For example, the table called Packagesizepharmacy, which counsel for W3 directed Mark to in response to queries as to where historical cost price information was located in the database, contained no such historical data. Mark testified that he understood it to be usual practice to keep historical data and log each change in databases of this type. As W3 has not provided historical Packagesizepharmacy data, AWI submits there is no way of knowing if cost of goods data has been deleted or modified.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Unfortunately, the same goes for much of the other data in the database. Some log tables have been provided, which keep running records of changes for a number of different tables in the database. However, some of these logs are empty. Other logs and tables which Mark stated he would have expected to include relevant cost or pricing information are completely absent or empty. AWI submits that without historical data, it is not possible to accurately determine what figure the website backend used as the product cost at any point in time, whether that cost was correct, or whether there were any other calculation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Further, Mark identified suspicious "last modified dates" in the database. Referring once again to the table that W3's counsel advised had the product cost prices, Packagesizepharmacy, this table has a column which identifies the different products, with a corresponding price associated with each product. There are also columns which appear to show when the product entry was created and the last time the data for that product was changed. AWI asserts that the prices found in the Wolrige Mahon Expert Report differ from the prices in this table, as does the information regarding the last date on which an item was modified.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Without historical pricing data, it is generally impossible to determine whether the cost for any given product matches that listed in the Packagesizepharmacy table at the relevant time. The only product costs that can be relied upon are those where the order in question occurred after the last modified date, and even then the integrity of the database is such that AWI submits I should place no weight on it, the Sales Reports, or the expert reports which relied upon the information contained in the database.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Standing back from the exercise, W3 asserted that AWI represented that the costs would be the actual wholesale costs of the goods. It alleged that AWI derived a "secret profit" with respect to goods that was the difference between the actual wholesale cost of the goods and the cost provided by AWI to the project. As noted, I have concluded that the Perissinottos did not make the alleged representations concerning the cost of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With respect to the issue of the alleged "secret profit" related to goods, I am not able to conclude from the analysis that there was a difference between the actual wholesale cost of goods and the cost charged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W3 has not persuaded me that there was a "secret profit" at all, let alone of the magnitude alleged. In that regard, I note that reference was made in the evidence to instances in which the CVT cost price was in fact less than the "wholesale" invoice price. Mark's explanation was that this reflected the practice of purchasing from a number of sources and developing a notional price. It is certainly not consistent with the systematic marking up of cost alleged by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evidence with respect to the shipping charges is also, in my view, incompatible with the false representations alleged. When the parties started the project, before the Profit Sharing Agreement was drafted, a question was raised about shipping. Mark responded with the statement that shipping would be a flat fee of $5 based on his calculation of the average price of shipping and packaging from their other venture. That was accepted by W3 and adopted as the method for paying the shipping and packaging expenses going forward. However, if the representations had been made as alleged, surely the response would have been that shipping and packaging were to be the actual cost, not an average flat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In my view, Mark's statement that the $5 flat rate represented the average cost was a representation that was intended to be and was relied upon. However it was not pleaded as a false representation by W3, nor has W3 proven that it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In that regard I note that evidence in support of the truth of the representation can be found in the email dated May 19, 2005, which included the previous month's figures for VSO. Mark stated that the $5 figure was an average of shipping costs per order for VSO operations. The email reports that for the month of April, VSO had 1497 orders and shipping costs of $7,495USD, amounting to an average of $5 per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In addition, with respect to shipping costs, I agree with the submission of AWI that the expert reports provided by W3 are problematic. Hay &amp; Watson performed a calculation of potential differences between shipping charges and the actual cost of shipping with Australia Post and DHL based upon a number of assumptions and estimates. The Wolrige Mahon report expresses an opinion that the estimated mark-up on packaging and shipping was $614,354CDN.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Each calculation is based upon assumptions, many of which are problematic. For example, the Hay &amp; Watson Expert Report states the shipping charges were based on weight. This is incorrect. Shipping charges were based on weight plus a charge per item. Hay &amp; Watson ignored the charge per item, thereby understating the cost to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Hay &amp; Watson report further states, "we have assumed that each order weighs 0.141 kilograms". Ms. Benbaruj therefore assumed that all parcels weighed the same as the lightest parcel she analyzed. However, Mark testified that the parcels varied in weight from about 200 grams to a number of kilograms. The decision to only analyze the shipping charges with reference to the lightest parcel serves to understate the actual shipping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Wolrige Mahon report states "the average weight of the CanadaVet packages was approximately the same as the average weight for all packages shipped by [AWI]". However, unlike the other websites, CVT offered discounts for bulk purchase and also offered free shipping for purchases over a certain dollar threshold. Mark testified that this resulted in the average weight of the CVT packages being greater than the other websites.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Finally, the expert reports do not take into account the cost associated with reshipments which occurred when a customer claimed that the order did not arrive or arrived damaged. Neither expert explained why reshipments were not addressed. This omission again resulted in the actual costs to AWI being understated.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Foreign exchange issues form significant components of the opinions expressed in both of the expert reports. I have concluded that AWI's submissions with respect to the shortcomings of both reports in this respect are well founded. For example, the Hay &amp; Watson report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Monthly average exchange rates or monthly average noon exchange rates were used to reflect transactions deemed to have occurred in the month of sale. For instance, if the sale was made in the month of September 2008, it was assumed that the payment was made in the month of the purchase and therefore the exchange rate used in our analysis was September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AWI says this assumption is incorrect. The evidence of Mark established that most suppliers provided a period of time between when the product was delivered to AWI's warehouse and when it had to be paid for; for example providing 30, 45 or 60 day terms. This is clear on the face of the invoices and statements provided. The Wolrige Mahon report appears to make a similar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Hay &amp; Watson report states further that it was assumed that "...AWI converted funds to AUD using the [the Reserve Bank of Australia and Bank of Canada monthly average exchange rates contained in Annexure G]". However, no party converted funds at those rates, nor can they, as they are average rates not available in the marketplace to transact business, a fact acknowledged by Ms. Benbaruj in her report. Average rates do not include the transacting bank's "margin" or fees and they represent a half-way point between the buy price and the sell price. The actual rates at which AWI or related entities converted funds have all been disclosed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Wolrige Mahon report relies on the "average monthly Australia/US and Canada/US exchange rates from CanadianForex for the period August 2005 through September 2011". However, the CanadianForex documents were not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Neither expert analyzed or appears to have considered the evidence with respect to the actual rates obtained by the parties in transacting business, including the forward contracts entered into by AWI for the purpose of currency exchange. Ms. Benbaruj's report states that "the actual foreign exchange rates for the transactions have not been provided". The report also assumes "that all payments received by AWI from the Company were denominated in USD and that AWI converted those funds to AUD using the exchange rates [from the Reserve Bank of Australia and the Bank of Canada]". However, as noted there is no basis for that assumption. Further, the factor applied by Mark in the price lists was known. In addition, AWI and the defendants by counterclaim disclosed documents evidencing their foreign exchange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The Wolrige Mahon Third Addendum purports to compare the "spot foreign trade confirmations provided by [AWI]" with the Australian/US exchange rates from the Bank of Canada and concludes that the difference between the two is not great. However, in making this conclusion, Wolrige Mahon specifically excludes consideration of the "forward contracts" or other trades which were in fact undertaken. In those transactions, the discrepancy is very large. No explanation was provided for the decision to exclude forward contracts when calculating foreign exchange. Further, AWI notes that Wolrige Mahon failed to provide justification as to why it has not used the actual exchange rates that applied to given transactions.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In the result I have concluded that W3 has not established that the representations it alleges were made. The Perissinottos did not intend to track the cost of individual goods and individual shipping charges. The intent was to operate the new site consistent with their established practices. At the time of contract, the parties shared a positive set of expectations concerning the new venture and the potential for future profits. It is not plausible in that context that the Perissinottos would so fundamentally misrepresent their intentions and I find that they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 am satisfied that the statement with respect to the average shipping cost was a representation that was relied upon. However, it has not been established that it was a false representation. It follows that the claim for fraudulent and negligent misrepresentation is dismissed and that misrepresentation is not available as a defence to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Breach of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Construction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AWI claims damages for breach of the Profit Sharing Agreement. W3 defends and counterclaims based upon its submission with respect to the proper construction of the Profit Sharing Agreement, in particular with respect to cost of goods, shipping costs and foreign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W3 asserts that whatever the subjective intentions of the Perissinottos might have been, proper construction of the Profit Sharing Agreement provided that the costs were to be the "actual" item-by-item wholesale cost paid by AWI and the actual shipping expenses paid to third parties by AWI for each of the packages sent during the course of the website's operation as calculated in AUD and then converted to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AWI says that that was not the agreement between the parties. It submits that the agreement was that Mark would generate a price list for the products, largely sourced in Australia, which set out the wholesale cost for products to the website project, convert that amount to USD using a selected rate of exchange, and apply a fixed markup depending on product type. This would result in the determination of the retail price in USD, being the amount that customers would actually pay for the product. That price list would be reviewed and accepted by W3, at which point AWI would be entitled to be reimbursed for the wholesale cost as an expense. The shipping costs would be based upon a flat rate per item, initially agreed upon at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 relevant provisions of the Profit Sharing Agreement with respect to the construction issue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VetShop and W3 have agreed to share the profits generated by CanadaVet as set out in this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Responsibilities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Responsibilities of VetShop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VetShop will be responsible for the following (at its own cost except as provided):</w:t>
      </w:r>
    </w:p>
    <w:p>
      <w:pPr>
        <w:numPr>
          <w:numId w:val="3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...pricing, price changes...</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Procurement of product -... number of sources ... (cost of product is an Expense as set out below and is to be reimbursed at wholesale cost).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Posting/Shipping ... (Cost of packaging and postage/shipping of orders is an Expense as set out below).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Shared Decisions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parties will make decisions regarding the operation and promotion of CanadaVet jointly (after taking in to account the recommendations of the party that has responsibility for and experienced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in the matter). This will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 range and pricing;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Share of Profits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How Profit is Calculated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the profit share:</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"Profits" will be calculated by deducting from the "Revenue" received from the sale of products on CanadaVet the "Expenses" of CanadaVet.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"Expenses" are: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wholesale cost of the products;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postage/shipping, packaging and insurance of orders;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2.3 Incurring Expenses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party can incur an Expense without the prior approval of both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a party incurs an approved Expense, it will be reimbursed before Profit is calculated.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separate bank account will be opened and all revenue from the sale of products through CanadaVet will be deposited in to that account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the Monday of each week (or such other day as the parties agree), a reconciliation will be made, and the amount in the account distributed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in payment/reimbursement of any Expenses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Then, any Profit will be paid 50% to W3 and 50% to VetShop.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Both parties will have access to the bank account. Neither party will make a deduction from the bank account except in accordance with this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money in the bank account will be.held on trust for both parties in accordance with this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The fundamental principle of construction of an agreement was described by Madam Justice Saunders, for the majority, in </w:t>
      </w:r>
      <w:r>
        <w:rPr>
          <w:rFonts w:ascii="arial" w:eastAsia="arial" w:hAnsi="arial" w:cs="arial"/>
          <w:i/>
          <w:color w:val="000000"/>
          <w:sz w:val="20"/>
          <w:lang w:val="en-US" w:eastAsia="en-US" w:bidi="ar-SA"/>
        </w:rPr>
        <w:t>Gilchrist v. Western Star Trucks Inc.</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2000 BCCA 70</w:t>
        </w:r>
      </w:hyperlink>
      <w:r>
        <w:rPr>
          <w:rFonts w:ascii="arial" w:eastAsia="arial" w:hAnsi="arial" w:cs="arial"/>
          <w:color w:val="000000"/>
          <w:sz w:val="20"/>
          <w:lang w:val="en-US" w:eastAsia="en-US" w:bidi="ar-SA"/>
        </w:rPr>
        <w:t xml:space="preserve"> at paras. 17-18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goal in interpreting an agreement is to discover, objectively, the parties' intention at the time the contract was made. The most significant tool is the language of the agreement itself. This language must be read in the context of the surrounding circumstances prevalent at the time of contracting. Only when the words, viewed objectively, bear two or more reasonable interpretations, may the court consider other matters such as the post-contracting conduct of the parties: </w:t>
      </w:r>
      <w:r>
        <w:rPr>
          <w:rFonts w:ascii="arial" w:eastAsia="arial" w:hAnsi="arial" w:cs="arial"/>
          <w:i/>
          <w:color w:val="000000"/>
          <w:sz w:val="20"/>
          <w:lang w:val="en-US" w:eastAsia="en-US" w:bidi="ar-SA"/>
        </w:rPr>
        <w:t>Delisle v. Bulman Group Ltd.</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(1991), 54 B.C.L.R. (2d) 343</w:t>
        </w:r>
      </w:hyperlink>
      <w:r>
        <w:rPr>
          <w:rFonts w:ascii="arial" w:eastAsia="arial" w:hAnsi="arial" w:cs="arial"/>
          <w:color w:val="000000"/>
          <w:sz w:val="20"/>
          <w:lang w:val="en-US" w:eastAsia="en-US" w:bidi="ar-SA"/>
        </w:rPr>
        <w:t xml:space="preserve"> (S.C.), approved by Chief Justice McEachern in </w:t>
      </w:r>
      <w:r>
        <w:rPr>
          <w:rFonts w:ascii="arial" w:eastAsia="arial" w:hAnsi="arial" w:cs="arial"/>
          <w:i/>
          <w:color w:val="000000"/>
          <w:sz w:val="20"/>
          <w:lang w:val="en-US" w:eastAsia="en-US" w:bidi="ar-SA"/>
        </w:rPr>
        <w:t>Bramalea Ltd. v. Vancouver School Board No. 39</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(1992), 65 B.C.L.R. (2d) 334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Prenn v. Simmonds</w:t>
      </w:r>
      <w:r>
        <w:rPr>
          <w:rFonts w:ascii="arial" w:eastAsia="arial" w:hAnsi="arial" w:cs="arial"/>
          <w:color w:val="000000"/>
          <w:sz w:val="20"/>
          <w:lang w:val="en-US" w:eastAsia="en-US" w:bidi="ar-SA"/>
        </w:rPr>
        <w:t xml:space="preserve">, [1971] 3 All E.R. 237 (H.L.); </w:t>
      </w:r>
      <w:r>
        <w:rPr>
          <w:rFonts w:ascii="arial" w:eastAsia="arial" w:hAnsi="arial" w:cs="arial"/>
          <w:i/>
          <w:color w:val="000000"/>
          <w:sz w:val="20"/>
          <w:lang w:val="en-US" w:eastAsia="en-US" w:bidi="ar-SA"/>
        </w:rPr>
        <w:t>Eli Lilly and Co. v. Novopharm Ltd.</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(1998), 161 D.L.R. (4th) 1</w:t>
        </w:r>
      </w:hyperlink>
      <w:r>
        <w:rPr>
          <w:rFonts w:ascii="arial" w:eastAsia="arial" w:hAnsi="arial" w:cs="arial"/>
          <w:color w:val="000000"/>
          <w:sz w:val="20"/>
          <w:lang w:val="en-US" w:eastAsia="en-US" w:bidi="ar-SA"/>
        </w:rPr>
        <w:t>,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first inquiry, then, is to determine whether there is only one reasonable meaning to the words in the contract, or more than one. In this search one must look to the surrounding circumstances and the whole of the contract. The words of the contract must be looked at in their ordinary and natural sense and cannot be distorted beyond their actual meaning: </w:t>
      </w:r>
      <w:r>
        <w:rPr>
          <w:rFonts w:ascii="arial" w:eastAsia="arial" w:hAnsi="arial" w:cs="arial"/>
          <w:i/>
          <w:color w:val="000000"/>
          <w:sz w:val="20"/>
          <w:lang w:val="en-US" w:eastAsia="en-US" w:bidi="ar-SA"/>
        </w:rPr>
        <w:t>MacMillan Bloedel Ltd. v. British Columbia Hydro &amp; Power Authority</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(1992), 72 B.C.L.R. (2d) 273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Melanesian Mission Trust Board v. Australian Mutual Provident Society</w:t>
      </w:r>
      <w:r>
        <w:rPr>
          <w:rFonts w:ascii="arial" w:eastAsia="arial" w:hAnsi="arial" w:cs="arial"/>
          <w:color w:val="000000"/>
          <w:sz w:val="20"/>
          <w:lang w:val="en-US" w:eastAsia="en-US" w:bidi="ar-SA"/>
        </w:rPr>
        <w:t>, [1997] 1 N.Z.L.R. 391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A helpful summary of the approach to be taken by the court was stated by Madam Justice Griffin in </w:t>
      </w:r>
      <w:r>
        <w:rPr>
          <w:rFonts w:ascii="arial" w:eastAsia="arial" w:hAnsi="arial" w:cs="arial"/>
          <w:i/>
          <w:color w:val="000000"/>
          <w:sz w:val="20"/>
          <w:lang w:val="en-US" w:eastAsia="en-US" w:bidi="ar-SA"/>
        </w:rPr>
        <w:t>British Columbia Ferry Services Inc. v. Vancouver Drydock Company Ltd.</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2011 BCSC 288</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court may take a multi-layered approach to contractual interpretation, depending on how readily the meaning is discerned, approaching the task in the following steps: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interpreting the contractual words at issue in the context of the whole of the contract: </w:t>
      </w:r>
      <w:r>
        <w:rPr>
          <w:rFonts w:ascii="arial" w:eastAsia="arial" w:hAnsi="arial" w:cs="arial"/>
          <w:i/>
          <w:color w:val="000000"/>
          <w:sz w:val="20"/>
          <w:lang w:val="en-US" w:eastAsia="en-US" w:bidi="ar-SA"/>
        </w:rPr>
        <w:t>Consolidated-Bathurst Export Ltd. v. Mutual Boiler &amp; Machinery Insurance Co.</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901. In this regard the court should reject an interpretation which would defeat the objectives of the parties in entering into the transaction, in favour of an interpretation that promotes a "sensible commercial result";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interpreting the contractual words in context of the factual matrix or the surrounding circumstances that existed at the time the contract was entered into, so long as this does not overwhelm the words employed: </w:t>
      </w:r>
      <w:r>
        <w:rPr>
          <w:rFonts w:ascii="arial" w:eastAsia="arial" w:hAnsi="arial" w:cs="arial"/>
          <w:i/>
          <w:color w:val="000000"/>
          <w:sz w:val="20"/>
          <w:lang w:val="en-US" w:eastAsia="en-US" w:bidi="ar-SA"/>
        </w:rPr>
        <w:t>Jacobsen v. Bergman</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2002 BCCA 102</w:t>
        </w:r>
      </w:hyperlink>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Gilchrist v. Western Star Trucks Inc.</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2000 BCCA 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Gilchrist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 Swan Gold Mines Ltd. v. Goldbelt Resources Ltd.</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(1996), 25 B.C.L.R. (3d) 285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Black Swan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 Street Pictures Ltd. v. Forefront Releasing Inc.</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2006 BCCA 459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 Street</w:t>
      </w:r>
      <w:r>
        <w:rPr>
          <w:rFonts w:ascii="arial" w:eastAsia="arial" w:hAnsi="arial" w:cs="arial"/>
          <w:color w:val="000000"/>
          <w:sz w:val="20"/>
          <w:lang w:val="en-US" w:eastAsia="en-US" w:bidi="ar-SA"/>
        </w:rPr>
        <w: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words bear more than one reasonable interpretation, the court may consider other evidence to resolve the ambiguity, including the way the parties conducted themselves in relation to the agreement, although evidence of post-contract conduct must be treated with extreme caution as it may be misleading, especially where the parties are corporations and the conduct is that of employees: </w:t>
      </w:r>
      <w:r>
        <w:rPr>
          <w:rFonts w:ascii="arial" w:eastAsia="arial" w:hAnsi="arial" w:cs="arial"/>
          <w:i/>
          <w:color w:val="000000"/>
          <w:sz w:val="20"/>
          <w:lang w:val="en-US" w:eastAsia="en-US" w:bidi="ar-SA"/>
        </w:rPr>
        <w:t>Water Street; Re Canadian National Railways and Canadian Pacific Ltd.</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(1978), 95 D.L.R. (3d) 242</w:t>
        </w:r>
      </w:hyperlink>
      <w:r>
        <w:rPr>
          <w:rFonts w:ascii="arial" w:eastAsia="arial" w:hAnsi="arial" w:cs="arial"/>
          <w:color w:val="000000"/>
          <w:sz w:val="20"/>
          <w:lang w:val="en-US" w:eastAsia="en-US" w:bidi="ar-SA"/>
        </w:rPr>
        <w:t xml:space="preserve"> (B.C.C.A.) at 261-62;</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an ambiguity in the contract, the court may also interpret the contract against the drafter of the contract where there was little opportunity for the other party to modify the words. This is application of the principle known as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Hillis Oil and Sales Limited v. Wynn's Canada Ltd.</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[1986] 1 S.C.R. 57</w:t>
        </w:r>
      </w:hyperlink>
      <w:r>
        <w:rPr>
          <w:rFonts w:ascii="arial" w:eastAsia="arial" w:hAnsi="arial" w:cs="arial"/>
          <w:color w:val="000000"/>
          <w:sz w:val="20"/>
          <w:lang w:val="en-US" w:eastAsia="en-US" w:bidi="ar-SA"/>
        </w:rPr>
        <w:t xml:space="preserve"> at 68-69.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With respect to the last point, W3 asserted that because Steven drafted the contract, any ambiguity should be interpreted against AWI on the basis of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In my view that principle has no application in the case at bar because the agreement was negotiated between the parties. W3 had ample opportunity to bargain for terms and was able to obtain terms that it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The surrounding circumstances that are to be considered in the present case include the fact that AWI, to the parties' knowledge, operated another website selling the same kinds of products. The goods were acquired from a number of suppliers for sale on a number of websites. At the time CVT was started, the warehouse was not organized to permit the tracking of which supplier's goods filled which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It is also an important surrounding circumstance that the parties started operation of the website a year before the written agreement was finalized and signed. They agree that the Profit Sharing Agreement did not alter the terms of their contractual relations. Accordingly, how the parties conducted themselves in the period following the commencement of operations until the Profit Sharing Agreement was signed is, in my view, part of the relevant surrounding circumstances as conduct evidencing the contractual terms to which they had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With respect to shipping costs as referred to in clauses 1.1(e), and 2.2(c)(3), AWI asserts that the parties agreed to a flat rate, initially $5 per order. W3 submits that shipping was to be the actual cost of shipping and packaging for each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 conclude that the parties agreed that shipping and packaging would be paid as an expense on the basis of a flat rate per order. This is clear in the exchange of emails on the subject in September 2005, at the time when the website was just getting underway and the parties were preparing for the first reconciliation. Mark stated that it was hard to work out the cost for each parcel shipped because they are grouped with all the other orders, and that they had worked out the average price per parcel was US$5.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It is clear that this flat rate cost was then accepted and implemented by W3. The flat rate, subject to periodic revision, was used as part of the formula by which shipping expenses were paid out in the monthly reconciliations. This was the method the parties used at the time the Profit Sharing Agreement was signed. The witnesses have agreed that the Profit Sharing Agreement was not intended to change the basic contractual terms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xml:space="preserve">  With respect to the "wholesale cost of goods", W3 submits that the proper construction is the actual price paid by AWI to acquire the goods. W3 submits that is the plain meaning of the phrase, relying on the definition of "wholesale price" provided in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the 9th ed. (St. Paul: Thomson Reuters, 2009) of which defines the term at 1309 as "the price that a retailer pays for goods purchased (usu. in bulk) from a wholesaler for resale to consumers at a higher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AWI submits that the contract must be construed as a whole. AWI notes that, pursuant to clause 1.3(c), product range and pricing are shared decisions of the parties and that, pursuant to clause 2.3, where a party incurs an approved expense, it will be reimbursed before profit is calculated. AWI submits that pursuant to its responsibilities as set out in clause 1.1, Mark prepared a cost of goods list that was supplied to W3 for review and approval pursuant to clause 1.3. W3 signified its approval by uploading the list into the database, where it served as the wholesale cost of goods for which AWI was entitled to be reimbursed as an expense pursuant to clause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AWI submits that therefore the meaning of "the wholesale cost of goods" was the price charged to the project by AWI as the cost of goods. AWI submits that this meaning is consistent with the definition of wholesale cost provided by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 have concluded that the proper construction of the Profit Sharing Agreement is as submitted by AWI. In my view, that is the construction that is consistent with the language of the agreement read as a whole. It is also consistent with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W3 submits that it would never have agreed to such an open-ended system. However, I agree with the submission of AWI that W3's focus from the outset was on the markup between the wholesale cost of goods and the retail price. In addition, Ms. Wong made no reference to what she asserts is the true construction in any of the documents addressing contractual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 Profit Sharing Agreement is silent with respect to foreign exchange. AWI submits that the parties agreed that a foreign exchange rate selected by Mark was included in the price list provided to W3 and accepted by uploading it into the database. It is clear that the first price list provided by Mark sets out both the actual exchange rate at the time and the rate that he was applying. Ms. Wong denied that this document was a price list, stating that its purpose was only to illustrate potential profits; however, I do not accept her testimony. The document itself is consistent with Mark's description of its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In May 2006, before the Profit Sharing Agreement was signed, a series of emails was exchanged in which Mark noted a problem with the cost of goods. He noted that W3 was not remitting the wholesale US cost of goods but a lesser amount, which appeared to have been calculated on the assumption that the cost of goods in the price list was in AUD not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In response to the query, Ms. Wong and Mr. Vo each investigated. W3 acknowledged the error, with some modest adjustment to its magnitude, and rectified the mistake. AWI did not detect any further difficulties in this regard. Therefore, W3 must have been using the foreign exchange factors supplied by AWI. Thus, at the time the Profit Sharing Agreement was finalized, the parties were conducting themselves in a manner consistent with the position AWI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While I have concluded that AWI's position accurately represents the arrangement under the Profit Sharing Agreement, I note in passing that I found W3's position with respect to foreign currency somewhat obscure. Ms. Wong gave evidence about the capacity of the database to perform currency conversions; however, there is no suggestion that that capacity was utilized by the parties. She also testified that the parties agreed that foreign exchange would be part of the later reconciliation that the accountants would sort out, an issue to which I turn next.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W3 alleges that the parties agreed that there was to be a yearly reconciliation exercise conducted by the parties' accountants to determine, at the least, the actual costs of the individual products sold, the actual costs per item of shipping and the applicable foreign exchange rates. Ms. Wong stated that although the parties agreed to a yearly reconciliation, they also agreed to defer that reconciliation. She later suggested that the exercise conducted by Hay &amp; Watson was meant to be the first of these reconciliation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In my view, it is clear that the Profit Sharing Agreement provides for no such exercise. The only reference to reconciliation is the weekly exercise described in clause 3.2. That reconciliation was later changed by oral agreement to a monthly exercise. It was based upon the data entered into the database. It was on the basis of these reports that the parties were to be reimbursed for expenses and profit share was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There is no suggestion in the Profit Sharing Agreement that this reconciliation is somehow a provisional exercise. It makes no commercial sense that it would be so. I note that there is no reference to such an exercise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Such an accounting would be unwieldy and prohibitively expensive. The only evidence in support of such a provision comes from Ms. Wong and I do not accept it as credible. I note that there is no evidence that Ms. Wong raised the issue with her accountants prior to 2009. Further, Ms. Brennan's description of how Ms. Wong described her task at the outset of her review is not consistent with Ms. Wong's description of an annual reconciliation.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Breach of the Profit Sharing Agreement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AWI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The Profit Sharing Agreement provided that only authorized expenses could be paid out of the project's funds. Once those expenses were paid to the appropriate party, the profit was to be split equally between AWI and W3. The Profit Sharing Agreement provided that "[neither] party will make a deduction from the bank account except in accordance with this agreement", and that "[the] money in the bank account will be held on trust for both parties in accordance with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There was no basis under the Profit Sharing Agreement whereby Ms. Wong could take money out of the account on a disproportionate basis except to pay approved expenses. W3 could not pay expenses that were not approved. W3 could pay out profit evenly, but monies could not be taken out of the bank account to pay CVD expenses. For each dollar that Ms. Wong paid out of profit, only half was to go to W3 and half was to go to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Ms. Wong acknowledged that she took funds from the CVT bank account and used them to pay CVD expenses. This was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However, the Hay &amp; Watson analysis shows that this was not an isolated breach on the part of Ms. Wong. For example, for the period ending December 31, 2005, AWI had paid $410,937 for cost of goods and shipping but had only been reimbursed $365,539, whereas W3 recorded $107,690 in expenses and was paid $106,773. In the result, the Hay &amp; Watson analysis showed that, at year end, W3 was owed $3,211 and AWI was owed $47,593.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By the end of 2006, the imbalance had increased. AWI was owed $112,250 and W3 had received $21,897 in excess of its contractual entitlement. By the end of 2007, AWI was owed $224,038 and W3 had received $106,249 in excess of its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Hay &amp; Watson prepared an accounting dated June 12, 2012 to bring the accounting up to April 30, 2009. This analysis shows that at April 30, 2009, AWI was owed USD $212,920.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There are additional adjustments that must be made to the Hay &amp; Watson figures. Commencing in October 2008, W3 deducted a contingency reserve. Such a reserve had never been taken prior to this time, was not provided for in the Profit Sharing Agreement, and was never agreed to by AWI. 50% of these amounts should be credited to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Hay &amp; Watson accounting fees have also been attributed to AWI. However, I find that AWI agreed to pay a portion of the Hay &amp; Watson fees only if it turned out that W3 was not at fault with respect to the accounting errors. This was not the case. Accordingly, none of the Hay &amp; Watson fees are attributable to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Paulette Parry's fees were to be paid as an expense by W3. However, W3 did not pay a number of Ms. Parry's accounts. AWI paid these accounts and should receive credit for those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During the month of February 2009, W3 unilaterally changed the shipping expense charge to $4.70 from $6.25, the difference being $1.55 per order over 1974 orders, giving a total of $3,059.70 that needs to be added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In March 2009, W3 once again unilaterally changed the shipping charge to $5 per order. The short payment was for 3,256 orders and amounts to $3,257.25.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A table of payments due on the expense adjustments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 Add back amount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2008 $ 1,047.37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2008 4,875.22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2008 4,260.09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2009 7,004.43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2009 6,343.53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2009 3,059.70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2009 9,042.20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2009 3,257.25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add back US $38,889.79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AWI is thus entitled to an accounting to April 30, 2009 for the Canadian equivalent of $212,920.00 USD and $38,889.79 USD, for a total of $251,809.79 USD. Court order interest on this amount is to be paid from May 1, 2009 to the date of judgment.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W3's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W3's claim for breach of the Profit Sharing Agreement is founded upon a construction of that agreement that I have not accepted. Thus, as noted, I have concluded that the parties did not agree that the cost of goods was to be the actual cost for each good paid by AWI nor that shipping and packaging was to be based upon the actual cost per item. Finally the parties did not agree that foreign exchange was to be calculated on the basis of Bank of Canada monthly average rates. Accordingly, W3's claim for breach of contract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Termination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W3 asserts that notwithstanding its breach of contract, AWI was not entitled to terminate the Profit Sharing Agreement. First, W3 asserts its breach was not of sufficient magnitude when compared to the overall volume of transactions to warrant a termination. Second, W3 asserts that AWI agreed that the accounts of all the projects would be reconciled once the Hay &amp; Watson report was finalized and thus it was estopped from terminating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With respect to the first point, I note that there is no language in the Profit Sharing Agreement limiting breaches that would justify termination of the contract for cause to material breaches. However, even if such a limitation was to be read into that agreement, in my view the breach at issue was a material breach. The materiality of the breach should be measured not against the volume of sales as W3 asserts, but against AWI's share of earnings. Viewed against AWI's share of earnings, which average out to approximately $156,000 per year from 2005-2008, according to the Hay &amp; Watson balance sheet, $200,000 is in my view a material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However, the nature of the breach in this case is even more significant than the amount at issue. The withdrawal of CVT funds to pay CVD expenses was not a mistake; it was deliberate conduct that Ms. Wong knew to be wrong. When the accounting was questioned, she feigned ignorance and continued to do so for months. In my view, the dishonest nature of the breach in question clearly amounted to a material breach of contract justifying termination for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With respect to the second submission, I conclude that AWI did not agree to forbear from taking any action concerning the breach of the Profit Sharing Agreement pending an accounting that would incorporate the outstanding issues pertaining to the other two websites. It may have been in the parties' contemplation in late 2008 and the early months of 2009 that the outstanding financial issues with respect to all three sites would be resolved together. However, it was clear that W3 had been pressed repeatedly to provide backups for the invoices with respect to VSO and CVD, and to rectify the problems with the production of reports from the backend of the CVD site. W3 did not address these outstanding matters. In the circumstances, a reasonable time had elapsed. W3 was not taking action and I conclude that AWI was entitled to issue the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 find that AWI was entitled to issue the Notice requiring W3 to rectify the breach. W3 did not do so, and AWI was therefore entitled to terminate the Profit Sharing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Comply with Agreement Post-Termination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Upon the lawful termination of the Profit Sharing Agreement, clause 4 dealt with "ending arrangements". Clause 4.2 sets out the obligations of the parties upon such termination, which included the requirement to reconcile the bank account for expenses and payout of profits and the requirement that W3 deliver to AWI the customer lists, records and any other information reasonably required to allow AWI to continue to operate its business. This would include the provision of all information, codes, and 1-800 telephone numbers necessary for the new call centre for AWI to receive calls of customers. W3 refused to comply with these obligations, as had been demanded in the termination letter and in counsel's letter. In particular, it refused to deliver up the customer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AWI owned the URL for CVT and accordingly it was able to control all access to that domain name, continue the business under the name and mark of CVT, and continue to use the get-up, look and feel of the website. To continue its operation, AWI only required a new operating code and access to the entirety of its customer 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AWI was able to get its new site operational by May 15, 2009. Having elected to terminate the Profit Sharing Agreement, AWI was required to absorb some of the associated downtime of the website. However, AWI was contractually entitled to all information necessary to continue the operation of CVT once it had been transferred to a new provider. If properly carried out, the customers of CVT need not have known that the site had changed hosting and service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However, on start-up of the migrated site, AWI had no access to its customers' records of past transactions; it also could not effectively communicate with them and was denied the right of direct solicitation to those customers. AWI asserts that this failure on the part of W3 was a further breach of the Profit Sharing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W3 took the position that AWI did not have the right to terminate the Profit Sharing Agreement and therefore the requirement to perform the post-termination duties did not arise. However, I have concluded that AWI did have the right to terminate the contract. It follows that W3 was in breach of its contractual obligations following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This breach was accompanied by other conduct - the copying of the CVT website, the creation of the CanaCreek website, and the deceptive communications sent by W3 to the customers of CVT - which AWI alleges caused it significant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With regard to those issues, W3 submits that it was permitted to take those actions because AWI did not have the right to terminate the Profit Sharing Agreement and W3 did not accept AWI's repudiation of that agreement. W3 has also argued that it was justified in engaging in this conduct as an exercise in mitigation of its damages for AWI's breach of contract. However, as noted, I have concluded that AWI was well within its rights to terminate the Profit Sharing Agreement, and that AWI did not breach that agreement. Accordingly, there were no damages for W3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In my view, even if I am wrong with respect to the question of AWI's right to terminate the Profit Sharing Agreement or AWI's breach of contract, W3 was not entitled either under the terms of the Profit Sharing Agreement or by virtue of its duty to mitigate to engage in this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Clause 5 of the Profit Sharing Agreement specifically provided that the Profit Sharing Agreement gave W3 no right to any "interest in the CanadaVet goodwill, domain name or website, customer lists or intellectual property or any other goodwill, domain name or website, customer lists or intellectual property owned by Vetshop." In my view "right" in this clause encompasses the right to use any of the above. Accordingly, W3 had no right under the terms of the Profit Sharing Agreement to use any of the intellectual property, goodwill, or customer lists in the manner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xml:space="preserve">  With respect to the issue of mitigation, I am aware of no authority, and none was cited to me, that suggested that mitigation provides a licence for tortious behaviour or behaviour in breach of a contract. In </w:t>
      </w:r>
      <w:r>
        <w:rPr>
          <w:rFonts w:ascii="arial" w:eastAsia="arial" w:hAnsi="arial" w:cs="arial"/>
          <w:i/>
          <w:color w:val="000000"/>
          <w:sz w:val="20"/>
          <w:lang w:val="en-US" w:eastAsia="en-US" w:bidi="ar-SA"/>
        </w:rPr>
        <w:t>Red Deer College v. Michaels</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Chief Justice Laskin described the principle of mitigation as follows at 330-31: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of course, for a wronged plaintiff to prove his damages, and there is therefore a burden upon him to establish on a balance of probabilities what his loss is. The parameters of loss are governed by legal principle. The primary rule in breach of contract cases, that a wronged plaintiff is entitled to be put in as good a position as he would have been in if there had been proper performance by the defendant, is subject to the qualification that the defendant cannot be called upon to pay for avoidable losses which would result in an increase in the quantum of damages payable to the plaintiff. The reference in the case law to a "duty" to mitigate should be understood in this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short, a wronged plaintiff is entitled to recover damages for the losses he has suffered but the extent of those losses may depend on whether he has taken reasonable steps to avoid their unreasonable accumulation. In </w:t>
      </w:r>
      <w:r>
        <w:rPr>
          <w:rFonts w:ascii="arial" w:eastAsia="arial" w:hAnsi="arial" w:cs="arial"/>
          <w:i/>
          <w:color w:val="000000"/>
          <w:sz w:val="20"/>
          <w:lang w:val="en-US" w:eastAsia="en-US" w:bidi="ar-SA"/>
        </w:rPr>
        <w:t>Payzu, Ltd. v. Saunders</w:t>
      </w:r>
      <w:r>
        <w:rPr>
          <w:rFonts w:ascii="arial" w:eastAsia="arial" w:hAnsi="arial" w:cs="arial"/>
          <w:color w:val="000000"/>
          <w:sz w:val="20"/>
          <w:lang w:val="en-US" w:eastAsia="en-US" w:bidi="ar-SA"/>
        </w:rPr>
        <w:t>, [[1919] 2 K.B. 581] at p. 589, Scrutton L.J. explained the matter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it be more correct to say that a plaintiff must minimize his damages, or to say that he can recover no more than he would have suffered if he had acted reasonably, because any further damages do not reasonably follow from the defendant's breach, the result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In my view, tortious actions or actions in breach of contract do not fall within the scope of the reasonable actions contemplated by the principle of mitigation.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 as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AWI submits that there are several basic "metrics" that can be employed to assess its damages:</w:t>
      </w:r>
      <w:r>
        <w:rPr>
          <w:rFonts w:ascii="arial" w:eastAsia="arial" w:hAnsi="arial" w:cs="arial"/>
          <w:sz w:val="20"/>
          <w:lang w:val="en-US" w:eastAsia="en-US" w:bidi="ar-SA"/>
        </w:rPr>
        <w:cr/>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revenue or gross profit (used by AWI to mean the net of total revenue less the cost of goods, but not operational expenses) suffered by AWI in its subsequent business;</w:t>
      </w:r>
    </w:p>
    <w:p>
      <w:pPr>
        <w:numPr>
          <w:numId w:val="5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revenue earned by CanaCreek in unlawfully appropriating and using the customer list of AWI;</w:t>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"investment" or capital associated with being deprived of access to the customer list; and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profitability of CVT in the four years of operation compared to the profits earned by CVT after the termination and projecting from that the expected profits that would have been earned by AWI had W3 not interfered in AWI's business in the way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Steven testified that in the absence of access to the customer lists, AWI had to reconstruct as many of the entries as it could. Steven testified that AWI was able to recover some 40,000 names on the customer list by cutting and pasting from old shipping instructions and labels. This was time-consuming and inefficient. Ms. Wong and Ms. Huang testified that there were some 133,000 customers on the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AWI submits that the measure of damages that it suffered should be calculated by reference to the revenue and gross profit that it would have enjoyed but for the actions of W3, as that is what would best compensate AWI for W3's refusal to deliver up the customer lists, the wrongful competition arising from the use of the customer lists, the appropriation and harm to AWI's goodwill, as well as the adverse effects of the false statements made to the customers of AWI and the confusion created in the marketplace by the operations of CanaCreek.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AWI submits a conservative estimate of what CVT would have earned in the period from May 2009 to January 2013 is an additional $1,993,389.55 in gross profit, over and above the gross profits actually earned by the websites. As all of the fixed costs of running CVT would remain constant had AWI been able to carry on the business without the damage caused by W3, the majority of the gross profit lost would have been retained by AWI as net profit. In other words, AWI submits, it would almost all drop to the "bottom line". As the cost of goods has already been accounted for in the calculation of gross profit, the only other sizable variable costs required to service the "lost sales" would have been the additional labour and shipping costs associated with the greater volume, which Mark testified would be approximately 10% of the gross profits lost. This estimate provides a reduction of $199,338.96, and results in a claim for damages in the amount of $1,794,050.59 as the "net" lost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AWI supported this submission with calculations and projections that took into account the operations of CanaCreek and projected that, but for W3's breaches, CVT would have carried on at roughly the same level of profitability with modest increases in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As noted above, Steven testified that they were able to recover information for some 40,000 customers and accordingly AWI lost information for approximately 90,000 customers from the customer list that ought to have been turned over to it. However, by the time that the customer list was delivered to AWI in November of 2012, it was essentially obsolete and therefore unusable. AWI submits that the cost of acquisition of the customers is suitable as a proxy for the value of the customers that were lost. Steven testified that this cost was $13.22 per customer, which for 90,000 customers amounts to a loss of $1,189,800.00.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The goodwill associated with the customer list is a capital asset that would be included in a valuation of any business. Hay &amp; Watson's CVT financial statements would not reflect this as an asset, as it belonged not to the project, but to AWI. AWI conceded that the net operating income losses reflect, to a degree, the loss of the customer list. Therefore, AWI properly acknowledged that it would not be appropriate to add the amount of $1,189,800.00 to the assessment of damages of the $1,794,050.59 it claims. AWI seeks instead an incremental increase of $300,000 USD to the damage calculation to reflect the loss of the customer list. This amount, it submits, would also address the alleged breach of copyright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In addition, AWI asserts that W3 negligently designed the software used to run CVT as the site suffered unacceptable levels of downtime for reasons that W3 could neither identify nor resolve. The evidence shows that VSO was down for 166 hours in the period from September 2, 2007 to May 24, 2008. W3 did not produce similar logs for CVT, but the evidence suggests that the sites were down in the same relative proportion. AWI submits that it bargained for a website and use of code that would be expected to withstand normal external attacks. AWI submits that the evidence suggests that it was coding errors, particularly related to W3's use of the ColdFusion code that was to blame for this downtime. Damages for the loss of sales due to provision of defective software would, it submits, be appropriately assessed as being $25,000 for the six days of downtime in a nine-month (270-day) period equal to 2.22% of operational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Thus, in total, AWI asserts that the damages to which it is entitled is the sum of $1,794,050.59 plus $300,000 for loss of goodwill and breach of copyright, for a total of $2,094,050.59, in addition to the $251,809.79 I have already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xml:space="preserve">  AWI did not claim punitive damages; however, it does seek special costs. Counsel submitted that as special costs have an element of a punitive punishment, citing </w:t>
      </w:r>
      <w:r>
        <w:rPr>
          <w:rFonts w:ascii="arial" w:eastAsia="arial" w:hAnsi="arial" w:cs="arial"/>
          <w:i/>
          <w:color w:val="000000"/>
          <w:sz w:val="20"/>
          <w:lang w:val="en-US" w:eastAsia="en-US" w:bidi="ar-SA"/>
        </w:rPr>
        <w:t>Stenner</w:t>
      </w:r>
      <w:r>
        <w:rPr>
          <w:rFonts w:ascii="arial" w:eastAsia="arial" w:hAnsi="arial" w:cs="arial"/>
          <w:color w:val="000000"/>
          <w:sz w:val="20"/>
          <w:lang w:val="en-US" w:eastAsia="en-US" w:bidi="ar-SA"/>
        </w:rPr>
        <w:t>, an award of special costs would be sufficient to deal with any reprehensible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W3 submits that the damages claimed by AWI are unsupported by the evidence. With respect to the customer list, W3 notes that AWI was able to reconstruct a substantial portion of the list, and that, in any event, its submission with respect to damages is based upon nothing more than conjecture. There was no independent evidence with respect to the valuation of customer lists based upon acquisition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W3 submits that AWI cannot claim to have suffered any loss because the revenue and profit from the CVT venture flowed at all times to GDS and VetshopAustralia, who advance no claim against W3. In addition, AWI relinquished ownership and registration of the CVT URL to Ani Welf in May 2009. However, in my view, W3 is conflating AWI's entitlement to the proceeds of the venture with how it chose to direct the proceeds. While AWI did instruct W3 to direct payment of AWI's proceeds to GDS and VetshopAustralia, this does not affect the contractual relationship between the parties which gives rise to AWI's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W3 submits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[AWI's submissions provide] no analysis of many factors relevant to any assessment of the fortunes of Canadavet.com:</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AUD/USD exchange rate</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fluctuations in product and shipping costs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 supply issues</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competitive environment</w:t>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new entrants in the online market</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of advertising (including the inability to use pay-per-click advertising as of late 2008)</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with Pharmacy Checker</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arising from Google's double-serve policies</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numerous expenses necessary to the operation of the business - and not accounted for in the draft Hay &amp; Watson reports - including the overhead and manpower expenses attributable to the product procurement and shipping/packaging process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experience of Vetshoponline.com and Vetshopaustralia.com.au in the same post-termination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With respect to those factors, AWI submits: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for AWI to evaluate these factors in diminution of its claim which based on prior performance of CanadaVet.com as being the only reliable proxy for future revenue and gross profit calculations. However, all of the factors [counsel for W3] raises are reflected in the calculation. They are: 1.) the AUD/US exchange rate: In 2007 and 2008 there were several significant fluctuations in the currency, both strengthening and weakening. The AUD went up in 2007, it went down [in] 2008, and it recovered again. Past performance reflected various currency fluctuations. 2.) Fluctuations in product costs: A 5% product cost increase was factored into the calculation. 3.) There are no product supply issues. 4.) Competitive environment: Mark testified that there was competition in 2006 and 2007 and that in 2008 it lessened. The two year period used reflects the competitiveness of the market. 5. Impact of advertising: The gross profit increase in the first four months of 2009 does reflect advertising changes. The gross profits went way up according to Hay &amp; Watson when advertising costs declined. 6.) Pharmacy Checker: There were no issues with this as the prescription side of the business was so small. 7.) Google double serve issues: Again this is no issue as shown by the 2009 gross profit results. 8.) Additional costs or overhead: The calculation of damages does reflect a 10% cost deduction to reflect additional costs. Overhead costs are fixed and covered by the sales that were made. Lost sales would mostly fall to the bottom line as profit. 9.) VetshopAustralia.com.au comparison. An Australian site is going to be of little comparative value in an analysis of lost sales based upon the prior two years of sales activities. In any event the court will have to exercise its business judgment in the application of any contingencies.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 will deal first with the issue of damages relating to the wrongful retention of the customer list. As noted above, I have concluded that the Profit Sharing Agreement did not entitle W3 to withhold the customer list from AWI. I agree with the submission of AWI that by the time the list was returned as part of belated document production in this litigation in November 2012, it was essentially obsolete, its value spent. I agree further that a customer list is a capital asset that has value and that AWI is entitled to damages for this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However, there was scant evidence with respect to the value of this capital asset. Steven testified about the cost of the list's acquisition, and it was submitted that this acquisition cost is a suitable proxy for the value of the list. I am not persuaded that this is the case. In the circumstances, I award $20,000 as nominal damages for the wrongful retention of the customer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 am not satisfied that AWI has proved its claim that the software provided was defective and accordingly do not award any damages in relation to this claim. It is evident that commencing around the fall of 2007, the CVT site was down much more than what would be considered the industry standard. AWI has submitted that the reason for this is coding errors and a code that was not sufficiently robust to withstand normal external attack. W3 denies that the code was deficient and submits that the site was the target of significant external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There was no expert evidence introduced with respect to the cause of the downtime. On the evidence before me, I am not able to conclude what caused the downtime, be it coding difficulties, external attacks, or some combination thereof. There was also no expert evidence concerning what would be a reasonable industry standard for robustness in the face of external attacks. I am not able to form any conclusion as to what would be a "normal external attack", nor whether the code in this case met reasonable expectations for robustness.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 agree that AWI is entitled to recover damages to compensate for the opportunity to make profit as a consequence of W3's wrongful acts, including retaining the customer list, setting up a competing website using the intellectual property of AWI, and making deceptive statements to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xml:space="preserve">  The approach the court is to take in assessing damages for loss of opportunity was described by Madam Justice Saunders, for the Court, in </w:t>
      </w:r>
      <w:r>
        <w:rPr>
          <w:rFonts w:ascii="arial" w:eastAsia="arial" w:hAnsi="arial" w:cs="arial"/>
          <w:i/>
          <w:color w:val="000000"/>
          <w:sz w:val="20"/>
          <w:lang w:val="en-US" w:eastAsia="en-US" w:bidi="ar-SA"/>
        </w:rPr>
        <w:t>Shanahan v. Turning Point Restaurant Ltd</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2012 BCCA 411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Shanahan</w:t>
      </w:r>
      <w:r>
        <w:rPr>
          <w:rFonts w:ascii="arial" w:eastAsia="arial" w:hAnsi="arial" w:cs="arial"/>
          <w:color w:val="000000"/>
          <w:sz w:val="20"/>
          <w:lang w:val="en-US" w:eastAsia="en-US" w:bidi="ar-SA"/>
        </w:rPr>
        <w:t>]. That case concerned the wrongful termination of the lease of an unprofitable restaurant. Saunders J.A. described the correct approach at para. 47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 consider the correct approach to assessment of Mr. Shanahan's loss is described by Mr. Justice Cumming in </w:t>
      </w:r>
      <w:r>
        <w:rPr>
          <w:rFonts w:ascii="arial" w:eastAsia="arial" w:hAnsi="arial" w:cs="arial"/>
          <w:i/>
          <w:color w:val="000000"/>
          <w:sz w:val="20"/>
          <w:lang w:val="en-US" w:eastAsia="en-US" w:bidi="ar-SA"/>
        </w:rPr>
        <w:t>Pacific Destination Properties Inc. v. Granville West Capital Corp.</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1999 BCCA 115</w:t>
        </w:r>
      </w:hyperlink>
      <w:r>
        <w:rPr>
          <w:rFonts w:ascii="arial" w:eastAsia="arial" w:hAnsi="arial" w:cs="arial"/>
          <w:color w:val="000000"/>
          <w:sz w:val="20"/>
          <w:lang w:val="en-US" w:eastAsia="en-US" w:bidi="ar-SA"/>
        </w:rPr>
        <w:t xml:space="preserve"> at para. 55, </w:t>
      </w:r>
      <w:hyperlink r:id="rId996" w:history="1">
        <w:r>
          <w:rPr>
            <w:rFonts w:ascii="arial" w:eastAsia="arial" w:hAnsi="arial" w:cs="arial"/>
            <w:i/>
            <w:color w:val="0077CC"/>
            <w:sz w:val="20"/>
            <w:u w:val="single"/>
            <w:shd w:val="clear" w:color="auto" w:fill="FFFFFF"/>
            <w:lang w:val="en-US" w:eastAsia="en-US" w:bidi="ar-SA"/>
          </w:rPr>
          <w:t>65 B.C.L.R. (3d) 27</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Bradshaw Construction Ltd. v. Bank of Nova Scotia</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(1992), 73 B.C.L.R. (2d) 212</w:t>
        </w:r>
      </w:hyperlink>
      <w:r>
        <w:rPr>
          <w:rFonts w:ascii="arial" w:eastAsia="arial" w:hAnsi="arial" w:cs="arial"/>
          <w:color w:val="000000"/>
          <w:sz w:val="20"/>
          <w:lang w:val="en-US" w:eastAsia="en-US" w:bidi="ar-SA"/>
        </w:rPr>
        <w:t xml:space="preserve"> (C.A.) this Court considered the principles applicable to damages, including a claim of loss of opportunity. At pages 228-229, the court referred to the following as a correct statement of the applicable law for loss of opportunity (as set out by the trial judge):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When deciding whether the plaintiff suffered any damages as a consequence of the actions of the defendant, Bradshaw must prove the existence of a loss on a balance of probabilities. It has done so. But when it comes to assessing the actual amount of the loss the standard of proof is not so strict.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Determining the amount of damages in these circumstances is largely a matter of assessing the strength and weaknesses of various possibilities. It is much like measuring the amount of a past or future loss of income in a personal injury action. The more certain the possibility of the loss the greater the award; the less certain the possibility the smaller the award. When looking at events that may have taken place but for a certain event, it is impossible to say what would have probably happened when the event came about, because one does not know the nature of the circumstances at the relevant time when the event might have occurred. The best that can be estimated are the possibilities, not the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first question to be addressed is therefore whether AWI has proved the existence of a loss on the balance of probabilities. CVT had been a profitable business from the outset. It generated profit every month of its operation, both before and after W3's breaches. When one compares the month-to-month gross profit figures for January to April 2008 and 2009, it is evident that 2009 was proving to be a more profitable year than 2008. However, that abruptly changes in May when, in all but one month to year end, 2009 is less profitable than the prior year. Had the provisions of the Profit Sharing Agreement been followed, the transition to a new host would have been seamless for CVT's customers. There is no evidence of any external factor at the time that would have accounted for this change. In my view, it is appropriate to infer that the drop in profits was the consequence of the wrongful actions of W3. I am satisfied on a balance of probabilities that the wrongful acts of W3 did cause damage to CVT's profitability.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The next issue is the quantum of this loss. I agree that the task is to estimate, having regard to all of the contingencies, both positive and negative, what profit AWI would have earned but for W3's wrongful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calculation of lost profits provided by AWI is based in part upon a projection of future sales based upon the monthly average of past years performance. AWI essentially submits that but for W3's wrongful acts, its business would have continued in the future as it had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In its damage calculation, AWI used the average of 2007 and 2008 as the measure of its lost profits. However, in my view, the inclusion of the year 2007 in AWI's calculation of the average is not appropriate. This is because 2007 was a very profitable year. While it is the case that CVT's performance in 2009 until the termination had improved over that of 2008, the performance prior to termination in 2009 was nowhere near an average of the performance in the years 2008 and 2007.</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4" type="#_x0000_t75" style="width:432.06pt;height:443.31pt">
            <v:imagedata r:id="rId99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In my view, an appropriate award to reflect the loss in 2009 in the circumstances is the difference between CVT's 2008 and 2009 gross profits for the months of May to December. In calculating the difference between the 2008 and 2009 gross profits for the period of May to December, I note that in October, CVT was more profitable in 2009 than 2008. However, I find that the ongoing issues with W3 likely contributed to a decline in profits in that month despite the increase over the previous year. As such, I have not reduced my award to account for this profit to reflect the probable losses suffered by AWI. The difference between 2008 and 2009 in the period of May to December, therefore, is $86,665.85. I award $86,666 with respect to this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In addition, as noted, prior to the wrongful acts of W3, CVT was more profitable in 2009 than it had been in 2008. Accordingly there needs to be a component of the award to compensate for the loss of the expected improvement in 2009. CVT had earned $62,047.30 more profit between January and April 2009 than in the previous year. CVT's business was seasonal with spring and summer business typically higher than fall and winter. I award $50,000 to compensate for the loss of increase over the company's 2008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AWI's submission adds CanaCreek gross profit to projected sales. I agree that CanaCreek gross profit is an appropriate reference point in the assessment because CanaCreek customers, particularly in 2009, are customers that were likely for the most part diverted from AWI because of W3's wrongful acts. That is because the CanaCreek sales are already captured in the projected lost revenue. In other words, in my view the $47,646.14 CanaCreek gross profit for 2009 is already accounted for in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I agree that there was a long-term impact on profits beyond December 2009. As a result of the confusion in relation to CanaCreek and the deceptive emails sent out by W3, CVT's customers would likely not return. In addition, CanaCreek remained in business into 2011. Thus, some award is appropriate to compensate for losses post-2009.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CanaCreek's gross profit for 2010 and 2011, after accounting for cost of goods and shipping, as reflected in the CanaCreek Statement of loss summary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2301"/>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2010</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2011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Sales</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726,939</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246,197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Cost of Goods and Shipping</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u w:val="single"/>
                <w:lang w:val="en-US" w:eastAsia="en-US" w:bidi="ar-SA"/>
              </w:rPr>
              <w:t>634,735</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u w:val="single"/>
                <w:lang w:val="en-US" w:eastAsia="en-US" w:bidi="ar-SA"/>
              </w:rPr>
              <w:t>249,883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92,204</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-3,686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figure provides one benchmark for assessing the likely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However, this is a business that is influenced by many other factors, notably fluctuations in currency and competition. While the business was profitable, 2008 and 2009 pre-termination were not as profitable as 2006 and 2007, which is likely a reflection of these and other external forces. Moreover, the effect of the wrongful acts on the business would likely diminish over time. There needs to be a substantial reduction for contingencies. I award $100,000 for lost profits in the period following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In the result I award $236,666 for lost profits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2008 - 2009 Difference May-Dec.</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86,666.00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Loss of Increase over 2008</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Long-term loss post-2009</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u w:val="single"/>
                <w:lang w:val="en-US" w:eastAsia="en-US" w:bidi="ar-SA"/>
              </w:rPr>
              <w:t>100,000.00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236,666.00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Copyright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AWI submits that while its loss can be evaluated and remedied on principles of breach of contract alone, it has concurrent and additional remedies for the breach of copyright and for both statutory and common law passing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As noted above, the Profit Sharing Agreement specifically states ownership of the website and all associated content as vesting in AWI. AWI submits it has copyright in CVT, as defined by s. 3(1) of the </w:t>
      </w:r>
      <w:r>
        <w:rPr>
          <w:rFonts w:ascii="arial" w:eastAsia="arial" w:hAnsi="arial" w:cs="arial"/>
          <w:i/>
          <w:color w:val="000000"/>
          <w:sz w:val="20"/>
          <w:lang w:val="en-US" w:eastAsia="en-US" w:bidi="ar-SA"/>
        </w:rPr>
        <w:t>Copyright Act</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R.S.C. 1985, c. C-42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For the purposes of this Act, "copyright", in relation to a work, means the sole right to produce or reproduce the work or any substantial part thereof in any material form whatever, to perform the work or any substantial part thereof in public or, if the work is unpublished, to publish the work or any substantial part thereof, and includes the sole right</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produce, reproduce, perform or publish any translation of the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xml:space="preserve">  Sections 13(1) and (3)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outline ownership of copyrightable works:</w:t>
      </w:r>
      <w:r>
        <w:rPr>
          <w:rFonts w:ascii="arial" w:eastAsia="arial" w:hAnsi="arial" w:cs="arial"/>
          <w:sz w:val="20"/>
          <w:lang w:val="en-US" w:eastAsia="en-US" w:bidi="ar-SA"/>
        </w:rPr>
        <w:cr/>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 Subject to this Act, the author of a work shall be the first owner of the copyright therein.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author of a work was in the employment of some other person under a contract of service or apprenticeship and the work was made in the course of his employment by that person, the person by whom the author was employed shall, in the absence of any agreement to the contrary, be the first owner of the copyright, but where the work is an article or other contribution to a newspaper, magazine or similar periodical, there shall, in the absence of any agreement to the contrary, be deemed to be reserved to the author a right to restrain the publication of the work, otherwise than as part of a newspaper, magazine or similar periodical.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AWI submits that the CVT website was created by W3 at AWI's request pursuant to obligations later specified in the Profit Sharing Agreement. AWI supplied substantial content to the website to improve its utility, attract customers and enhance its rating through the criteria established by the likes of Google and Yahoo. AWI submits that there is no joint ownership of the CVT website. AWI has sole title and interest in the URL and website of CVT, as both were created and operated for the benefit of AWI. Upon termination of the Profit Sharing Agreement, the URL and website were to remain in the possession of and be operated for the benefit of AWI.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xml:space="preserve">  AWI submits that it is well established that copyright subsists in a website: see BCAA et al v. Office and Professional Employees' Int. Union et al, </w:t>
      </w:r>
      <w:hyperlink r:id="rId1000" w:history="1">
        <w:r>
          <w:rPr>
            <w:rFonts w:ascii="arial" w:eastAsia="arial" w:hAnsi="arial" w:cs="arial"/>
            <w:i/>
            <w:color w:val="0077CC"/>
            <w:sz w:val="20"/>
            <w:u w:val="single"/>
            <w:shd w:val="clear" w:color="auto" w:fill="FFFFFF"/>
            <w:lang w:val="en-US" w:eastAsia="en-US" w:bidi="ar-SA"/>
          </w:rPr>
          <w:t>2001 BCSC 156</w:t>
        </w:r>
      </w:hyperlink>
      <w:r>
        <w:rPr>
          <w:rFonts w:ascii="arial" w:eastAsia="arial" w:hAnsi="arial" w:cs="arial"/>
          <w:color w:val="000000"/>
          <w:sz w:val="20"/>
          <w:lang w:val="en-US" w:eastAsia="en-US" w:bidi="ar-SA"/>
        </w:rPr>
        <w:t xml:space="preserve"> at para. 186 [BCAA]; and Century 21 Canada Limited Partnership v. Rogers Communications Inc., </w:t>
      </w:r>
      <w:hyperlink r:id="rId1001" w:history="1">
        <w:r>
          <w:rPr>
            <w:rFonts w:ascii="arial" w:eastAsia="arial" w:hAnsi="arial" w:cs="arial"/>
            <w:i/>
            <w:color w:val="0077CC"/>
            <w:sz w:val="20"/>
            <w:u w:val="single"/>
            <w:shd w:val="clear" w:color="auto" w:fill="FFFFFF"/>
            <w:lang w:val="en-US" w:eastAsia="en-US" w:bidi="ar-SA"/>
          </w:rPr>
          <w:t>2011 BCSC 1196</w:t>
        </w:r>
      </w:hyperlink>
      <w:r>
        <w:rPr>
          <w:rFonts w:ascii="arial" w:eastAsia="arial" w:hAnsi="arial" w:cs="arial"/>
          <w:color w:val="000000"/>
          <w:sz w:val="20"/>
          <w:lang w:val="en-US" w:eastAsia="en-US" w:bidi="ar-SA"/>
        </w:rPr>
        <w:t xml:space="preserve"> [Century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xml:space="preserve">  The elements of a successful copyright infringement claim were outlined by the Court in </w:t>
      </w:r>
      <w:r>
        <w:rPr>
          <w:rFonts w:ascii="arial" w:eastAsia="arial" w:hAnsi="arial" w:cs="arial"/>
          <w:i/>
          <w:color w:val="000000"/>
          <w:sz w:val="20"/>
          <w:lang w:val="en-US" w:eastAsia="en-US" w:bidi="ar-SA"/>
        </w:rPr>
        <w:t>Ibcos Computers Ltd. v. Barclays Mercantile Highland Finance Ltd.</w:t>
      </w:r>
      <w:r>
        <w:rPr>
          <w:rFonts w:ascii="arial" w:eastAsia="arial" w:hAnsi="arial" w:cs="arial"/>
          <w:color w:val="000000"/>
          <w:sz w:val="20"/>
          <w:lang w:val="en-US" w:eastAsia="en-US" w:bidi="ar-SA"/>
        </w:rPr>
        <w:t>, [1994] F.S.R. 275 (Ch. D) [</w:t>
      </w:r>
      <w:r>
        <w:rPr>
          <w:rFonts w:ascii="arial" w:eastAsia="arial" w:hAnsi="arial" w:cs="arial"/>
          <w:i/>
          <w:color w:val="000000"/>
          <w:sz w:val="20"/>
          <w:lang w:val="en-US" w:eastAsia="en-US" w:bidi="ar-SA"/>
        </w:rPr>
        <w:t>Ibcos</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Ibcos</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BCAA</w:t>
      </w:r>
      <w:r>
        <w:rPr>
          <w:rFonts w:ascii="arial" w:eastAsia="arial" w:hAnsi="arial" w:cs="arial"/>
          <w:color w:val="000000"/>
          <w:sz w:val="20"/>
          <w:lang w:val="en-US" w:eastAsia="en-US" w:bidi="ar-SA"/>
        </w:rPr>
        <w:t xml:space="preserve"> held, at para. 173, that it must be established that:</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original work;</w:t>
      </w:r>
    </w:p>
    <w:p>
      <w:pPr>
        <w:numPr>
          <w:numId w:val="8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a copying;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substantial portion of the work has been reproduced.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xml:space="preserve">  Originality is determined according to the 'form' of the work, absent reference to the ideas or expressions of thought contained therein: see </w:t>
      </w:r>
      <w:r>
        <w:rPr>
          <w:rFonts w:ascii="arial" w:eastAsia="arial" w:hAnsi="arial" w:cs="arial"/>
          <w:i/>
          <w:color w:val="000000"/>
          <w:sz w:val="20"/>
          <w:lang w:val="en-US" w:eastAsia="en-US" w:bidi="ar-SA"/>
        </w:rPr>
        <w:t>University of London Press Ltd. v. University Tutorial Press Ltd.</w:t>
      </w:r>
      <w:r>
        <w:rPr>
          <w:rFonts w:ascii="arial" w:eastAsia="arial" w:hAnsi="arial" w:cs="arial"/>
          <w:color w:val="000000"/>
          <w:sz w:val="20"/>
          <w:lang w:val="en-US" w:eastAsia="en-US" w:bidi="ar-SA"/>
        </w:rPr>
        <w:t xml:space="preserve">, [1916] 2 Ch. 601 at 608-09, 32 T.L.R. 698; cited with approval in </w:t>
      </w:r>
      <w:r>
        <w:rPr>
          <w:rFonts w:ascii="arial" w:eastAsia="arial" w:hAnsi="arial" w:cs="arial"/>
          <w:i/>
          <w:color w:val="000000"/>
          <w:sz w:val="20"/>
          <w:lang w:val="en-US" w:eastAsia="en-US" w:bidi="ar-SA"/>
        </w:rPr>
        <w:t>BCAA</w:t>
      </w:r>
      <w:r>
        <w:rPr>
          <w:rFonts w:ascii="arial" w:eastAsia="arial" w:hAnsi="arial" w:cs="arial"/>
          <w:color w:val="000000"/>
          <w:sz w:val="20"/>
          <w:lang w:val="en-US" w:eastAsia="en-US" w:bidi="ar-SA"/>
        </w:rPr>
        <w:t xml:space="preserve"> at para.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Slumber-Magic Adjustable Bed Co. Ltd. v. Sleep-King Adjustable Bed Co. Ltd.</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(1984), 3 C.P.R. (3d) 81</w:t>
        </w:r>
      </w:hyperlink>
      <w:r>
        <w:rPr>
          <w:rFonts w:ascii="arial" w:eastAsia="arial" w:hAnsi="arial" w:cs="arial"/>
          <w:color w:val="000000"/>
          <w:sz w:val="20"/>
          <w:lang w:val="en-US" w:eastAsia="en-US" w:bidi="ar-SA"/>
        </w:rPr>
        <w:t xml:space="preserve"> at 84, </w:t>
      </w:r>
      <w:hyperlink r:id="rId1002" w:history="1">
        <w:r>
          <w:rPr>
            <w:rFonts w:ascii="arial" w:eastAsia="arial" w:hAnsi="arial" w:cs="arial"/>
            <w:i/>
            <w:color w:val="0077CC"/>
            <w:sz w:val="20"/>
            <w:u w:val="single"/>
            <w:shd w:val="clear" w:color="auto" w:fill="FFFFFF"/>
            <w:lang w:val="en-US" w:eastAsia="en-US" w:bidi="ar-SA"/>
          </w:rPr>
          <w:t>[1985] 1 W.W.R. 112</w:t>
        </w:r>
      </w:hyperlink>
      <w:r>
        <w:rPr>
          <w:rFonts w:ascii="arial" w:eastAsia="arial" w:hAnsi="arial" w:cs="arial"/>
          <w:color w:val="000000"/>
          <w:sz w:val="20"/>
          <w:lang w:val="en-US" w:eastAsia="en-US" w:bidi="ar-SA"/>
        </w:rPr>
        <w:t xml:space="preserve"> (B.C.S.C.), Madam Justice McLachlin, as she then was, held that provided "work, taste and discretion have entered into the composition, that originality is established". The Supreme Court of Canada in </w:t>
      </w:r>
      <w:r>
        <w:rPr>
          <w:rFonts w:ascii="arial" w:eastAsia="arial" w:hAnsi="arial" w:cs="arial"/>
          <w:i/>
          <w:color w:val="000000"/>
          <w:sz w:val="20"/>
          <w:lang w:val="en-US" w:eastAsia="en-US" w:bidi="ar-SA"/>
        </w:rPr>
        <w:t>CCH Canadian Ltd. v. Law Society of Upper Canada</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2004 SCC 13</w:t>
        </w:r>
      </w:hyperlink>
      <w:r>
        <w:rPr>
          <w:rFonts w:ascii="arial" w:eastAsia="arial" w:hAnsi="arial" w:cs="arial"/>
          <w:color w:val="000000"/>
          <w:sz w:val="20"/>
          <w:lang w:val="en-US" w:eastAsia="en-US" w:bidi="ar-SA"/>
        </w:rPr>
        <w:t xml:space="preserve"> at para. 25, held that the standard by which to judge originality can be measured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exercise of skill and judgment required to produce the work must not be so trivial that it could be characterized as a purely mechanical exercise. While creative works will by definition be "original" and covered by copyright, creativity is not required to make a work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The relevant considerations to determining originality were further examined in </w:t>
      </w:r>
      <w:r>
        <w:rPr>
          <w:rFonts w:ascii="arial" w:eastAsia="arial" w:hAnsi="arial" w:cs="arial"/>
          <w:i/>
          <w:color w:val="000000"/>
          <w:sz w:val="20"/>
          <w:lang w:val="en-US" w:eastAsia="en-US" w:bidi="ar-SA"/>
        </w:rPr>
        <w:t>BCAA</w:t>
      </w:r>
      <w:r>
        <w:rPr>
          <w:rFonts w:ascii="arial" w:eastAsia="arial" w:hAnsi="arial" w:cs="arial"/>
          <w:color w:val="000000"/>
          <w:sz w:val="20"/>
          <w:lang w:val="en-US" w:eastAsia="en-US" w:bidi="ar-SA"/>
        </w:rPr>
        <w:t xml:space="preserve"> at para. 186, where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...the overall arrangement of commonplace elements such as colours, shapes and designs can obviously result in an original artistic work for which the author is entitled to copyright protection. Such a work cannot be copied without the author's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AWI submits that based on the considerations relevant to determining originality, as outlined in the jurisprudence, the originality of the website is reflected in its general look and feel, which encompass the products selected to appear on the homepage, the size of the product photos, the size of the price text, the selection of an image to function as a logo for the website, the location of the logo, and the general location of images, text, and icons on the webpage.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AWI submits that the website layout was implemented, finalized and updated on instruction from AWI. There is no evidence the website was created using standard form templates or standard colour and icon schema. The atypical placement of icons, varied icon sizing, decisions as to where top selling products would be listed, if prices would be listed on the homepage, how often the products on the homepage changed, and the overall website layout and colour scheme are all indicative of CVT being an original 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With respect to the second element, copying, AWI submits that the fact that CanaCreek was created by significantly copying CVT cannot be disputed. Both Myfanwy and Marcellus Wong testified that W3 technicians copied the CVT website for use as a template for CanaCreek. W3 then scrubbed the copied CVT website for references to AWI and CVT and inserted CanaCreek in place of CVT. However, the process was incomplete and some references to CVT remained on the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xml:space="preserve">  The final requirement to establish that a breach of copyright has occurred is that the original work which was copied was actually substantially reproduced in the copied work and not just reproduced in discrete parts. The Court in </w:t>
      </w:r>
      <w:r>
        <w:rPr>
          <w:rFonts w:ascii="arial" w:eastAsia="arial" w:hAnsi="arial" w:cs="arial"/>
          <w:i/>
          <w:color w:val="000000"/>
          <w:sz w:val="20"/>
          <w:lang w:val="en-US" w:eastAsia="en-US" w:bidi="ar-SA"/>
        </w:rPr>
        <w:t>British Columbia Jockey Club v. Standen</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[1983] 4 W.W.R. 537</w:t>
        </w:r>
      </w:hyperlink>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73 C.P.R. (2d) 164</w:t>
        </w:r>
      </w:hyperlink>
      <w:r>
        <w:rPr>
          <w:rFonts w:ascii="arial" w:eastAsia="arial" w:hAnsi="arial" w:cs="arial"/>
          <w:color w:val="000000"/>
          <w:sz w:val="20"/>
          <w:lang w:val="en-US" w:eastAsia="en-US" w:bidi="ar-SA"/>
        </w:rPr>
        <w:t xml:space="preserve"> (B.C.S.C.), aff'd </w:t>
      </w:r>
      <w:hyperlink r:id="rId1005" w:history="1">
        <w:r>
          <w:rPr>
            <w:rFonts w:ascii="arial" w:eastAsia="arial" w:hAnsi="arial" w:cs="arial"/>
            <w:i/>
            <w:color w:val="0077CC"/>
            <w:sz w:val="20"/>
            <w:u w:val="single"/>
            <w:shd w:val="clear" w:color="auto" w:fill="FFFFFF"/>
            <w:lang w:val="en-US" w:eastAsia="en-US" w:bidi="ar-SA"/>
          </w:rPr>
          <w:t>[1985] 6 W.W.R. 683</w:t>
        </w:r>
      </w:hyperlink>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8 C.P.R. (3d) 283</w:t>
        </w:r>
      </w:hyperlink>
      <w:r>
        <w:rPr>
          <w:rFonts w:ascii="arial" w:eastAsia="arial" w:hAnsi="arial" w:cs="arial"/>
          <w:color w:val="000000"/>
          <w:sz w:val="20"/>
          <w:lang w:val="en-US" w:eastAsia="en-US" w:bidi="ar-SA"/>
        </w:rPr>
        <w:t xml:space="preserve"> (B.C.C.A.), confirmed that "substantial", as used in s. 3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does not mean identical. Text can be identified as substantially copied even if the language is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xml:space="preserve">  The leading case on copying in substantial part is </w:t>
      </w:r>
      <w:r>
        <w:rPr>
          <w:rFonts w:ascii="arial" w:eastAsia="arial" w:hAnsi="arial" w:cs="arial"/>
          <w:i/>
          <w:color w:val="000000"/>
          <w:sz w:val="20"/>
          <w:lang w:val="en-US" w:eastAsia="en-US" w:bidi="ar-SA"/>
        </w:rPr>
        <w:t>Ladbroke (Football) Ltd. v. William Hill (Football) Ltd.</w:t>
      </w:r>
      <w:r>
        <w:rPr>
          <w:rFonts w:ascii="arial" w:eastAsia="arial" w:hAnsi="arial" w:cs="arial"/>
          <w:color w:val="000000"/>
          <w:sz w:val="20"/>
          <w:lang w:val="en-US" w:eastAsia="en-US" w:bidi="ar-SA"/>
        </w:rPr>
        <w:t>, [1964] 1 W.L.R. 273, [1964] 1 All E.R. 465 (H.L.), where the Court endorsed a qualitative test determining whether substantial copying has occurred. In developing this qualitative test, the Court also examined what does not constitute substantial copying at 276: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Broadly, reproduction means copying, and does not include cases where an author or compiler produces a substantially similar result by independent work without copying. And, if he does copy, the question whether he has copied a substantial part depends much more on the quality than on the quantity of what he has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Century 21</w:t>
      </w:r>
      <w:r>
        <w:rPr>
          <w:rFonts w:ascii="arial" w:eastAsia="arial" w:hAnsi="arial" w:cs="arial"/>
          <w:color w:val="000000"/>
          <w:sz w:val="20"/>
          <w:lang w:val="en-US" w:eastAsia="en-US" w:bidi="ar-SA"/>
        </w:rPr>
        <w:t xml:space="preserve">, at para. 205, noted that while copying a thumbnail picture might be acceptable, citing </w:t>
      </w:r>
      <w:r>
        <w:rPr>
          <w:rFonts w:ascii="arial" w:eastAsia="arial" w:hAnsi="arial" w:cs="arial"/>
          <w:i/>
          <w:color w:val="000000"/>
          <w:sz w:val="20"/>
          <w:lang w:val="en-US" w:eastAsia="en-US" w:bidi="ar-SA"/>
        </w:rPr>
        <w:t>Kelly v. Arriba Soft Corporation</w:t>
      </w:r>
      <w:r>
        <w:rPr>
          <w:rFonts w:ascii="arial" w:eastAsia="arial" w:hAnsi="arial" w:cs="arial"/>
          <w:color w:val="000000"/>
          <w:sz w:val="20"/>
          <w:lang w:val="en-US" w:eastAsia="en-US" w:bidi="ar-SA"/>
        </w:rPr>
        <w:t>, 336 F. 3d 811 (9th Cir. 2003), the copying of an entire photograph to actual size is a clear violation of copyright. AWI submits that in placing CVT's 2008 pet photo contest photos on CanaCreek, W3 violated the copyright held by AWI in the images present on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AWI submits that the majority of website pages are identical between the two sites; W3 only made non-significant changes to the CanaCreek website, such as replacing the CVT name with CanaCreek. At any rate, in </w:t>
      </w:r>
      <w:r>
        <w:rPr>
          <w:rFonts w:ascii="arial" w:eastAsia="arial" w:hAnsi="arial" w:cs="arial"/>
          <w:i/>
          <w:color w:val="000000"/>
          <w:sz w:val="20"/>
          <w:lang w:val="en-US" w:eastAsia="en-US" w:bidi="ar-SA"/>
        </w:rPr>
        <w:t>C.P. Koch Ltd. v. Continental Steel Ltd.</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(1984), 82 C.P.R. (2d) 156</w:t>
        </w:r>
      </w:hyperlink>
      <w:r>
        <w:rPr>
          <w:rFonts w:ascii="arial" w:eastAsia="arial" w:hAnsi="arial" w:cs="arial"/>
          <w:color w:val="000000"/>
          <w:sz w:val="20"/>
          <w:lang w:val="en-US" w:eastAsia="en-US" w:bidi="ar-SA"/>
        </w:rPr>
        <w:t xml:space="preserve"> at 164, </w:t>
      </w:r>
      <w:hyperlink r:id="rId1006" w:history="1">
        <w:r>
          <w:rPr>
            <w:rFonts w:ascii="arial" w:eastAsia="arial" w:hAnsi="arial" w:cs="arial"/>
            <w:i/>
            <w:color w:val="0077CC"/>
            <w:sz w:val="20"/>
            <w:u w:val="single"/>
            <w:shd w:val="clear" w:color="auto" w:fill="FFFFFF"/>
            <w:lang w:val="en-US" w:eastAsia="en-US" w:bidi="ar-SA"/>
          </w:rPr>
          <w:t>[1984] B.C.J. No. 987</w:t>
        </w:r>
      </w:hyperlink>
      <w:r>
        <w:rPr>
          <w:rFonts w:ascii="arial" w:eastAsia="arial" w:hAnsi="arial" w:cs="arial"/>
          <w:color w:val="000000"/>
          <w:sz w:val="20"/>
          <w:lang w:val="en-US" w:eastAsia="en-US" w:bidi="ar-SA"/>
        </w:rPr>
        <w:t xml:space="preserve"> (S.C.), the Court held that the addition of original components to a work, after copying a substantial part, does not serve as a defence to a claim in copyright. AWI submits that based on the lack of significant original additions to CanaCreek, the minor changes to CanaCreek by W3 do not operate as a defence to W3's breach of AWI's copyright in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AWI notes copying in relation to the use of logos and icons, the pet photo contest, newsletters, pet information, testimonials and the pet library. AWI submits that the CanaCreek copying of original CVT works is substantial. CanaCreek directly copied the substantive text, paragraph headings, paragraph breaks, and the order in which the testimonials are displayed. Copying original elements of CVT was done to purposely deceive the public and create the false impression that CanaCreek was in fact the old CVT, in order to appropriate the business of CVT. AWI submits that the substantial reproduction of the entire CVT website deceived customers and damaged the goodwill CVT had developed with customers over their 45 months of operation, as evidenced by the responses that AWI saw in email and in blog postings on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xml:space="preserve">  AWI submits that its copyright in CVT, protected by s. 3(1)(a)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has been infringed by W3's substantial reproduction of the CVT website without the consent of AWI as the legitimate copyright holder, as required by s. 27(1)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8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 It is an infringement of copyright for any person to do, without the consent of the owner of the copyright, anything that by this Act only the owner of the copyright has the right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W3's principal defence to this claim was its assertion that it was entitled to copy the website as part of its efforts to mitigate the breach of contract. Counsel also submitted that because W3 did not accept AWI's wrongful repudiation of the contract, it remained entitled to use the intellectual property in the operation of a website. However, as noted above, I have concluded that it was W3, not AWI that was in breach of contract, and that AWI was entitled to terminate the Agreement. Further, in my view, W3 did not have the right to take the actions it did in copying the website, either by virtue of the terms of the Profit Sharing Agreement or by virtue of the principle of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I am satisfied that AWI has made out its claim that the CVT website was an original work, that AWI was the owner of the copyright, and that W3 infringed its copyright by substantial reproduction of the CVT website without the owner's permission as required by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Remedy for Breach of Copyright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Section 34(1)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provides for available remedies:</w:t>
      </w:r>
      <w:r>
        <w:rPr>
          <w:rFonts w:ascii="arial" w:eastAsia="arial" w:hAnsi="arial" w:cs="arial"/>
          <w:sz w:val="20"/>
          <w:lang w:val="en-US" w:eastAsia="en-US" w:bidi="ar-SA"/>
        </w:rPr>
        <w:cr/>
      </w:r>
    </w:p>
    <w:p>
      <w:pPr>
        <w:numPr>
          <w:numId w:val="8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 Where copyright has been infringed, the owner of the copyright is, subject to this Act, entitled to all remedies by way of injunction, damages, accounts, delivery up and otherwise that are or may be conferred by law for the infringement of a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Section 35(1)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provides that in relation to damages:</w:t>
      </w:r>
      <w:r>
        <w:rPr>
          <w:rFonts w:ascii="arial" w:eastAsia="arial" w:hAnsi="arial" w:cs="arial"/>
          <w:sz w:val="20"/>
          <w:lang w:val="en-US" w:eastAsia="en-US" w:bidi="ar-SA"/>
        </w:rPr>
        <w:cr/>
      </w:r>
    </w:p>
    <w:p>
      <w:pPr>
        <w:numPr>
          <w:numId w:val="8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 Where a person infringes copyright, the person is liable to pay such damages to the owner of the copyright as the owner has suffered due to the infringement and, in addition to those damages, such part of the profits that the infringer has made from the infringement and that were not taken into account in calculating the damages as the court considers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Louis Vuitton Malletier S.A. v. Singga Enterprises (Canada) Inc.</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2011 FC 776</w:t>
        </w:r>
      </w:hyperlink>
      <w:r>
        <w:rPr>
          <w:rFonts w:ascii="arial" w:eastAsia="arial" w:hAnsi="arial" w:cs="arial"/>
          <w:color w:val="000000"/>
          <w:sz w:val="20"/>
          <w:lang w:val="en-US" w:eastAsia="en-US" w:bidi="ar-SA"/>
        </w:rPr>
        <w:t>, a group of defendants was found liable for copyright and trademark infringement stemming from the unauthorized sale of counterfeit Louis Vuitton and Burberry merchandise. In assessing damages flowing from the copyright infringement, the Court held at paras. 124-26: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[124] ...The </w:t>
      </w:r>
      <w:r>
        <w:rPr>
          <w:rFonts w:ascii="arial" w:eastAsia="arial" w:hAnsi="arial" w:cs="arial"/>
          <w:i/>
          <w:color w:val="000000"/>
          <w:sz w:val="20"/>
          <w:lang w:val="en-US" w:eastAsia="en-US" w:bidi="ar-SA"/>
        </w:rPr>
        <w:t>Copyright Act</w:t>
      </w:r>
      <w:r>
        <w:rPr>
          <w:rFonts w:ascii="arial" w:eastAsia="arial" w:hAnsi="arial" w:cs="arial"/>
          <w:color w:val="000000"/>
          <w:sz w:val="20"/>
          <w:lang w:val="en-US" w:eastAsia="en-US" w:bidi="ar-SA"/>
        </w:rPr>
        <w:t xml:space="preserve"> provides for an award of both damages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profits against an infringer of copyright, as well as for statutory damages, in the alternative, of no less than $500 per infringed work and no more than $20,000 per infringed work. See </w:t>
      </w:r>
      <w:r>
        <w:rPr>
          <w:rFonts w:ascii="arial" w:eastAsia="arial" w:hAnsi="arial" w:cs="arial"/>
          <w:i/>
          <w:color w:val="000000"/>
          <w:sz w:val="20"/>
          <w:lang w:val="en-US" w:eastAsia="en-US" w:bidi="ar-SA"/>
        </w:rPr>
        <w:t>Trade-marks Act</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R.S.C. 1985, c. T-13, s. 53.2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Copyright Act</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R.S.C. 1985, c. C-42, ss. 34</w:t>
        </w:r>
      </w:hyperlink>
      <w:r>
        <w:rPr>
          <w:rFonts w:ascii="arial" w:eastAsia="arial" w:hAnsi="arial" w:cs="arial"/>
          <w:color w:val="000000"/>
          <w:sz w:val="20"/>
          <w:lang w:val="en-US" w:eastAsia="en-US" w:bidi="ar-SA"/>
        </w:rPr>
        <w:t xml:space="preserve"> and 38.1.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In relation to damages, a defendant is liable for all loss actually sustained by a plaintiff that is the natural and direct consequence of the unlawful acts of the defendant, including any loss of trade actually suffered by the plaintiff, either directly from the acts complained of or properly attributable thereto, that constitute an injury to the plaintiff's reputation, business, goodwill or trade. The court may apply ordinary business knowledge and common sense, and is entitled to consider that there cannot be deceptive trading without inflicting some measure of damage on the goodwill. See </w:t>
      </w:r>
      <w:r>
        <w:rPr>
          <w:rFonts w:ascii="arial" w:eastAsia="arial" w:hAnsi="arial" w:cs="arial"/>
          <w:i/>
          <w:color w:val="000000"/>
          <w:sz w:val="20"/>
          <w:lang w:val="en-US" w:eastAsia="en-US" w:bidi="ar-SA"/>
        </w:rPr>
        <w:t>Ragdoll Productions (UK) Ltd. v Jane Doe</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2002 FCT 918</w:t>
        </w:r>
      </w:hyperlink>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21 C.P.R. (4th) 213</w:t>
        </w:r>
      </w:hyperlink>
      <w:r>
        <w:rPr>
          <w:rFonts w:ascii="arial" w:eastAsia="arial" w:hAnsi="arial" w:cs="arial"/>
          <w:color w:val="000000"/>
          <w:sz w:val="20"/>
          <w:lang w:val="en-US" w:eastAsia="en-US" w:bidi="ar-SA"/>
        </w:rPr>
        <w:t xml:space="preserve"> at paragraph 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[126] Difficulty in assessing damages or profits does not relieve the court from the duty of assessing them and doing the best it can. The court is entitled to draw inferences from the actions of the parties and the probable results that they would have. Once a plaintiff has proven infringement, if damages or profits cannot be estimated with exactitude, the best reasonable estimate must be made without being limited to nominal damages. See </w:t>
      </w:r>
      <w:r>
        <w:rPr>
          <w:rFonts w:ascii="arial" w:eastAsia="arial" w:hAnsi="arial" w:cs="arial"/>
          <w:i/>
          <w:color w:val="000000"/>
          <w:sz w:val="20"/>
          <w:lang w:val="en-US" w:eastAsia="en-US" w:bidi="ar-SA"/>
        </w:rPr>
        <w:t>Ragdoll Productions (UK) Ltd.</w:t>
      </w:r>
      <w:r>
        <w:rPr>
          <w:rFonts w:ascii="arial" w:eastAsia="arial" w:hAnsi="arial" w:cs="arial"/>
          <w:color w:val="000000"/>
          <w:sz w:val="20"/>
          <w:lang w:val="en-US" w:eastAsia="en-US" w:bidi="ar-SA"/>
        </w:rPr>
        <w:t xml:space="preserve">, above, at paragraphs 40-45; </w:t>
      </w:r>
      <w:r>
        <w:rPr>
          <w:rFonts w:ascii="arial" w:eastAsia="arial" w:hAnsi="arial" w:cs="arial"/>
          <w:i/>
          <w:color w:val="000000"/>
          <w:sz w:val="20"/>
          <w:lang w:val="en-US" w:eastAsia="en-US" w:bidi="ar-SA"/>
        </w:rPr>
        <w:t>Louis Vuitton Malletier S.A. v. Lin Pi-Chu Yang</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2007 FC 1179</w:t>
        </w:r>
      </w:hyperlink>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62 C.P.R. (4th) 362</w:t>
        </w:r>
      </w:hyperlink>
      <w:r>
        <w:rPr>
          <w:rFonts w:ascii="arial" w:eastAsia="arial" w:hAnsi="arial" w:cs="arial"/>
          <w:color w:val="000000"/>
          <w:sz w:val="20"/>
          <w:lang w:val="en-US" w:eastAsia="en-US" w:bidi="ar-SA"/>
        </w:rPr>
        <w:t xml:space="preserve"> at paragraph 28; and </w:t>
      </w:r>
      <w:r>
        <w:rPr>
          <w:rFonts w:ascii="arial" w:eastAsia="arial" w:hAnsi="arial" w:cs="arial"/>
          <w:i/>
          <w:color w:val="000000"/>
          <w:sz w:val="20"/>
          <w:lang w:val="en-US" w:eastAsia="en-US" w:bidi="ar-SA"/>
        </w:rPr>
        <w:t>Louis Vuitton Malletier S.A. et al. v. 486353 B.C. Ltd. et al.</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2008 BCSC 799</w:t>
        </w:r>
      </w:hyperlink>
      <w:r>
        <w:rPr>
          <w:rFonts w:ascii="arial" w:eastAsia="arial" w:hAnsi="arial" w:cs="arial"/>
          <w:color w:val="000000"/>
          <w:sz w:val="20"/>
          <w:lang w:val="en-US" w:eastAsia="en-US" w:bidi="ar-SA"/>
        </w:rPr>
        <w:t>, [2008] B.C.W.L.D. 5075 at paragraphs 54-55.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xml:space="preserve">  AWI submits that the damages it claims pursuant to the claim for lost profit arising from the breach of contract are also partially recoverable pursuant to the claim for breach of copyright. AWI concedes, however, that it is not entitled to double recovery. AWI submits that to a degree, some element of damages does stand separate and apart from lost sales and certain remedies may be imposed under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despite a major recovery under the head of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xml:space="preserve">  In the alternative, AWI submits that it can elect to claim statutory damages in lieu of ordinary damages pursuant to s. 38.1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38.1 (1) Subject to this section, a copyright owner may elect, at any time before final judgment is rendered, to recover, instead of damages and profits referred to in subsection 35(1), an award of statutory damages for which any one infringer is liable individually, or for which any two or more infringers are liable jointly and severally,</w:t>
      </w:r>
    </w:p>
    <w:p>
      <w:pPr>
        <w:numPr>
          <w:numId w:val="9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sum of not less than $500 and not more than $20,000 that the court considers just, with respect to all infringements involved in the proceedings for each work or other subject-matter, if the infringements are for commercial purposes;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Louis Vuitton Malletier S.A. v. 486353 B.C. Ltd.</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2008 BCSC 799</w:t>
        </w:r>
      </w:hyperlink>
      <w:r>
        <w:rPr>
          <w:rFonts w:ascii="arial" w:eastAsia="arial" w:hAnsi="arial" w:cs="arial"/>
          <w:color w:val="000000"/>
          <w:sz w:val="20"/>
          <w:lang w:val="en-US" w:eastAsia="en-US" w:bidi="ar-SA"/>
        </w:rPr>
        <w:t xml:space="preserve"> at para. 74 [486353 B.C. Ltd.],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Pursuant to s, 38.1 of the Copyright Act, statutory damages for copyright infringement are awarded on a scale from $500 to $20,000 per work infringed. In exercising its discretion, the Court is required to consider all relevant factors, including good or bad faith, the conduct of the parties before and during the proceedings; and the need to deter other infringements of the copyrights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In relation to these factors, AWI submits that mere days after the termination of the Profit Sharing Agreement, W3 began work on CanaCreek. W3 deliberately copied the entirety of the CVT website, with full knowledge that the terms of the Profit Sharing Agreement vested sole rights to the CVT website, and all content therein in AWI. W3 purposely copied the layout of CVT and copied customer testimonials and pet health care-related articles specifically written in relation to and for use solely by CVT. The primary purpose for copying the CVT website was so W3 could appropriate and benefit from the goodwill that existed in the CVT name, which resulted in significant damage to the sales revenue and commercial reputation AWI worked to create for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AWI says the similarities between the websites provided credence to the claims of W3 in a misleading communication sent to those on the customer list of CVT. W3 deceived customers into thinking CanaCreek was the business they had previously purchased from, and cast doubt on the integrity of other websites claiming to be the "real"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AWI submits that W3's deliberate infringement of AWI's copyright in CVT and W3's subsequent conduct in releasing a deceptive communication to appropriate the business of CVT warrants rebuke from this court. To condemn this type of unethical business practice, AWI submits that an award of statutory damages at the higher end of the scale is justified, namely:</w:t>
      </w:r>
      <w:r>
        <w:rPr>
          <w:rFonts w:ascii="arial" w:eastAsia="arial" w:hAnsi="arial" w:cs="arial"/>
          <w:sz w:val="20"/>
          <w:lang w:val="en-US" w:eastAsia="en-US" w:bidi="ar-SA"/>
        </w:rPr>
        <w:cr/>
      </w:r>
    </w:p>
    <w:p>
      <w:pPr>
        <w:numPr>
          <w:numId w:val="9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copying of the CVT website "Homepage", the amount of $20,000.00;</w:t>
      </w:r>
    </w:p>
    <w:p>
      <w:pPr>
        <w:numPr>
          <w:numId w:val="9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copying of the "Testimonials" webpage, the amount of $20,000.00;</w:t>
      </w:r>
    </w:p>
    <w:p>
      <w:pPr>
        <w:numPr>
          <w:numId w:val="9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copying of the "About Us" webpage, the amount of $20,000.00;</w:t>
      </w:r>
    </w:p>
    <w:p>
      <w:pPr>
        <w:numPr>
          <w:numId w:val="9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copying of the "Frequently Asked Questions" webpage, the amount of $20,000.00;</w:t>
      </w:r>
    </w:p>
    <w:p>
      <w:pPr>
        <w:numPr>
          <w:numId w:val="9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copying of the "Legal and Terms of Service" webpage, the amount of $20,000.00;</w:t>
      </w:r>
    </w:p>
    <w:p>
      <w:pPr>
        <w:numPr>
          <w:numId w:val="9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copying of the "2008 Pet Photo Contest" content, the amount of $20,000.00;</w:t>
      </w:r>
    </w:p>
    <w:p>
      <w:pPr>
        <w:numPr>
          <w:numId w:val="9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copying of the "Pet Library" index webpage, the amount of $20,000.00;</w:t>
      </w:r>
    </w:p>
    <w:p>
      <w:pPr>
        <w:numPr>
          <w:numId w:val="9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copying of the pet health-related articles written by Mark Perissinotto for exclusive use by AWI and CVT, the amount of $20,000.00 per article written, for a total of $80,000.00 (4 articles x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AWI thus seeks an award of statutory damages claimed for W3's infringement of AWI's copyright in CVT and all associated content of $220,000.00.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I am satisfied that the award with respect to loss of profit made pursuant to the breach of contract compensates AWI for the profits lost due to breach of copyright. I have concluded that, given the scope of the copying and the commercial motivation of W3, it is appropriate to make an award of statutory damages which I fix at $20,000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Statutory Passing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xml:space="preserve">  AWI submits it has an actionable claim for statutory passing off under s. 7(b) of the </w:t>
      </w:r>
      <w:r>
        <w:rPr>
          <w:rFonts w:ascii="arial" w:eastAsia="arial" w:hAnsi="arial" w:cs="arial"/>
          <w:i/>
          <w:color w:val="000000"/>
          <w:sz w:val="20"/>
          <w:lang w:val="en-US" w:eastAsia="en-US" w:bidi="ar-SA"/>
        </w:rPr>
        <w:t>Trade-marks Act</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R.S.C. 1985, c. T-13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numPr>
          <w:numId w:val="9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public attention to his wares, services or business in such a way as to cause or be likely to cause confusion in Canada, at the time he commenced so to direct attention to them, between his wares, services or business and the wares, services or business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xml:space="preserve">  As stated by the Federal Court of Appeal in </w:t>
      </w:r>
      <w:r>
        <w:rPr>
          <w:rFonts w:ascii="arial" w:eastAsia="arial" w:hAnsi="arial" w:cs="arial"/>
          <w:i/>
          <w:color w:val="000000"/>
          <w:sz w:val="20"/>
          <w:lang w:val="en-US" w:eastAsia="en-US" w:bidi="ar-SA"/>
        </w:rPr>
        <w:t>Nissan Canada Inc. v. BMW Canada Inc.</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2007 FCA 255</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Nissan</w:t>
      </w:r>
      <w:r>
        <w:rPr>
          <w:rFonts w:ascii="arial" w:eastAsia="arial" w:hAnsi="arial" w:cs="arial"/>
          <w:color w:val="000000"/>
          <w:sz w:val="20"/>
          <w:lang w:val="en-US" w:eastAsia="en-US" w:bidi="ar-SA"/>
        </w:rPr>
        <w:t xml:space="preserve">], "trade-mark" as defined by s. 2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requires a mark to be "used by a person for the purpose of distinguishing or so as to distinguish wares or services manufactured, sold, leased, hired or performed by him from those manufactured, sold, leased, hired or performed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xml:space="preserve">  The term "use", as it relates to a trade-mark, is defined in s. 2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as meaning "any use that by s. 4 is deemed to be a use in association with wares or services". Accordingly, s. 4(2)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10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trade-mark is deemed to be used in association with services if it is used or displayed in the performance or advertising of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xml:space="preserve">  AWI submits that the mark CVT is categorized as a trade-mark by virtue of the definition found within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CVT is used by AWI as a 'brand' to distinguish its service and product offerings from those of its competition. In addition, CVT is 'used' within the meaning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as it appears throughout the website where products are advertised and offered on every page and at all times. The trade-mark CVT also appears on a Facebook page which was created for advertisement purposes and is linked to the main website from which individuals can purchase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xml:space="preserve">  AWI submits that the trademark of CVT is clearly in 'use' within the meaning of s. 4(2)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as its advertisements all point to this name and the website where purchases can be made: see </w:t>
      </w:r>
      <w:r>
        <w:rPr>
          <w:rFonts w:ascii="arial" w:eastAsia="arial" w:hAnsi="arial" w:cs="arial"/>
          <w:i/>
          <w:color w:val="000000"/>
          <w:sz w:val="20"/>
          <w:lang w:val="en-US" w:eastAsia="en-US" w:bidi="ar-SA"/>
        </w:rPr>
        <w:t>Compagnie Générale des Établissements Michelin-Michelin &amp; Cie v. National Automobile, Aerospace, Transportation and General Workers Union of Canada (CAW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(1996), 71 C.P.R. (3d) 348</w:t>
        </w:r>
      </w:hyperlink>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[1997] 2 F.C. 306</w:t>
        </w:r>
      </w:hyperlink>
      <w:r>
        <w:rPr>
          <w:rFonts w:ascii="arial" w:eastAsia="arial" w:hAnsi="arial" w:cs="arial"/>
          <w:color w:val="000000"/>
          <w:sz w:val="20"/>
          <w:lang w:val="en-US" w:eastAsia="en-US" w:bidi="ar-SA"/>
        </w:rPr>
        <w:t>). Additionally, the domain name and online searches would all list the name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xml:space="preserve">  AWI says it possesses a valid and enforceable unregistered trade-mark capable of supporting an action under s. 7(b)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Kirkbi AG v. Ritvik Holdings Inc.</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2003 FCA 297</w:t>
        </w:r>
      </w:hyperlink>
      <w:r>
        <w:rPr>
          <w:rFonts w:ascii="arial" w:eastAsia="arial" w:hAnsi="arial" w:cs="arial"/>
          <w:color w:val="000000"/>
          <w:sz w:val="20"/>
          <w:lang w:val="en-US" w:eastAsia="en-US" w:bidi="ar-SA"/>
        </w:rPr>
        <w:t xml:space="preserve"> at paras. 37-39, aff'd </w:t>
      </w:r>
      <w:hyperlink r:id="rId1017" w:history="1">
        <w:r>
          <w:rPr>
            <w:rFonts w:ascii="arial" w:eastAsia="arial" w:hAnsi="arial" w:cs="arial"/>
            <w:i/>
            <w:color w:val="0077CC"/>
            <w:sz w:val="20"/>
            <w:u w:val="single"/>
            <w:shd w:val="clear" w:color="auto" w:fill="FFFFFF"/>
            <w:lang w:val="en-US" w:eastAsia="en-US" w:bidi="ar-SA"/>
          </w:rPr>
          <w:t>2005 SCC 65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Nissan</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xml:space="preserve">  In considering s. 7(b)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Enterprise Rent-a-Car Co. v. Singer</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[1996] 2 F.C. 694</w:t>
        </w:r>
      </w:hyperlink>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66 C.P.R. (3d) 453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Enterprise</w:t>
      </w:r>
      <w:r>
        <w:rPr>
          <w:rFonts w:ascii="arial" w:eastAsia="arial" w:hAnsi="arial" w:cs="arial"/>
          <w:color w:val="000000"/>
          <w:sz w:val="20"/>
          <w:lang w:val="en-US" w:eastAsia="en-US" w:bidi="ar-SA"/>
        </w:rPr>
        <w: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Goodwill can be created as a result of the use of a trade-mark in Canada and the use of a trade-mark in another country where that trade-mark comes to the attention of Canadians, either through use or through advertising which reaches Canadians.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AWI submits that the alleged passing off is in relation to CVT and CanaCreek, access to both of which would have been readily available to the consumer public in Canada and the United States. Regardless of whom the products were intended to be marketed to, internet search engines would likely provide equal reference to both sites due to the first four letters of the name in a search such as "Canada online pet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xml:space="preserve">  AWI notes that the Court in </w:t>
      </w:r>
      <w:r>
        <w:rPr>
          <w:rFonts w:ascii="arial" w:eastAsia="arial" w:hAnsi="arial" w:cs="arial"/>
          <w:i/>
          <w:color w:val="000000"/>
          <w:sz w:val="20"/>
          <w:lang w:val="en-US" w:eastAsia="en-US" w:bidi="ar-SA"/>
        </w:rPr>
        <w:t>Orkin Exterminating Co. Inc. v. Pestco Co. of Canada Ltd. et al</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(1985), 19 D.L.R. (4th) 90</w:t>
        </w:r>
      </w:hyperlink>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50 O.R. (2d) 726</w:t>
        </w:r>
      </w:hyperlink>
      <w:r>
        <w:rPr>
          <w:rFonts w:ascii="arial" w:eastAsia="arial" w:hAnsi="arial" w:cs="arial"/>
          <w:color w:val="000000"/>
          <w:sz w:val="20"/>
          <w:lang w:val="en-US" w:eastAsia="en-US" w:bidi="ar-SA"/>
        </w:rPr>
        <w:t xml:space="preserve"> (C.A.), held that by virtue of millions of Canadians travelling in the U.S. and being exposed to American publications circulating in Canada, the plaintiff American pest control company was found to have its trade-marks recognized and protected by s. 7(b)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in Canada. Similarly, in </w:t>
      </w:r>
      <w:r>
        <w:rPr>
          <w:rFonts w:ascii="arial" w:eastAsia="arial" w:hAnsi="arial" w:cs="arial"/>
          <w:i/>
          <w:color w:val="000000"/>
          <w:sz w:val="20"/>
          <w:lang w:val="en-US" w:eastAsia="en-US" w:bidi="ar-SA"/>
        </w:rPr>
        <w:t>Enterprise</w:t>
      </w:r>
      <w:r>
        <w:rPr>
          <w:rFonts w:ascii="arial" w:eastAsia="arial" w:hAnsi="arial" w:cs="arial"/>
          <w:color w:val="000000"/>
          <w:sz w:val="20"/>
          <w:lang w:val="en-US" w:eastAsia="en-US" w:bidi="ar-SA"/>
        </w:rPr>
        <w:t>, witnesses stated that if they had seen the 'Enterprise' name or logo in Canada, they would assume that it represented the U.S. Enterprise company or some affiliated branch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AWI submits that considering the similarities between the CVT and CanaCreek layouts, colouring, and product placements, in conjunction with unlawful retention of the toll-free numbers, customer list, database and false solicitation email, the average customer is more than likely to view CanaCreek as affiliated with the "true" CVT. The email of May 27, 2009 claimed that CanaCreek was operated by the same personnel "you've grown to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xml:space="preserve">  CVT need not prove any requisite level of 'fame' within the jurisdiction, so long as CVT is known to some members of the public. AWI submits the public would have been aware of CVT given the name of the company, its internet advertising, the shipment of products within Canada by CVT, the fact that internet advertising reaches worldwide and the fact that the toll-free numbers were located in Canada: see </w:t>
      </w:r>
      <w:r>
        <w:rPr>
          <w:rFonts w:ascii="arial" w:eastAsia="arial" w:hAnsi="arial" w:cs="arial"/>
          <w:i/>
          <w:color w:val="000000"/>
          <w:sz w:val="20"/>
          <w:lang w:val="en-US" w:eastAsia="en-US" w:bidi="ar-SA"/>
        </w:rPr>
        <w:t>Levitz Furniture Corp. and Levitz Furniture Co. of Washington Inc. v. Levitz Furniture Ltd., Value Industries Ltd. and Silver</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[1972] 3 W.W.R. 65</w:t>
        </w:r>
      </w:hyperlink>
      <w:r>
        <w:rPr>
          <w:rFonts w:ascii="arial" w:eastAsia="arial" w:hAnsi="arial" w:cs="arial"/>
          <w:color w:val="000000"/>
          <w:sz w:val="20"/>
          <w:lang w:val="en-US" w:eastAsia="en-US" w:bidi="ar-SA"/>
        </w:rPr>
        <w:t xml:space="preserve"> at 66-67, </w:t>
      </w:r>
      <w:hyperlink r:id="rId1020" w:history="1">
        <w:r>
          <w:rPr>
            <w:rFonts w:ascii="arial" w:eastAsia="arial" w:hAnsi="arial" w:cs="arial"/>
            <w:i/>
            <w:color w:val="0077CC"/>
            <w:sz w:val="20"/>
            <w:u w:val="single"/>
            <w:shd w:val="clear" w:color="auto" w:fill="FFFFFF"/>
            <w:lang w:val="en-US" w:eastAsia="en-US" w:bidi="ar-SA"/>
          </w:rPr>
          <w:t>5 C.P.R. (2d) 13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xml:space="preserve">  AWI submits that through CanaCreek, W3 did knowingly and willingly direct attention to their services and products in a manner causing confusion in the consumer public. Whether there has been confusion is to be determined by reference to s. 6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numPr>
          <w:numId w:val="10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 For the purposes of this Act, a trade-mark or trade-name is confusing with another trade-mark or trade-name if the use of the first mentioned trade-mark or trade-name would cause confusion with the last mentioned trade-mark or trade-name in the manner and circumstances described in this section.</w:t>
      </w:r>
    </w:p>
    <w:p>
      <w:pPr>
        <w:numPr>
          <w:numId w:val="10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a trade-mark causes confusion with another trade-mark if the use of both trade-marks in the same area would be likely to lead to the inference that the wares or services associated with those trade-marks are manufactured, sold, leased, hired or performed by the same person, whether or not the wares or services are of the same general class.</w:t>
      </w:r>
    </w:p>
    <w:p>
      <w:pPr>
        <w:numPr>
          <w:numId w:val="10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a trade-mark causes confusion with a trade-name if the use of both the trade-mark and trade-name in the same area would be likely to lead to the inference that the wares or services associated with the trade-mark and those associated with the business carried on under the trade-name are manufactured, sold, leased, hired or performed by the same person, whether or not the wares or services are of the same general class.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a trade-name causes confusion with a trade-mark if the use of both the trade-name and trade-mark in the same area would be likely to lead to the inference that the wares or services associated with the business carried on under the trade-name and those associated with the trade-mark are manufactured, sold, leased, hired or performed by the same person, whether or not the wares or services are of the same general class.</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trade-marks or trade-names are confusing, the court or the Registrar, as the case may be, shall have regard to all the surrounding circumstances including</w:t>
      </w:r>
    </w:p>
    <w:p>
      <w:pPr>
        <w:numPr>
          <w:numId w:val="10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inherent distinctiveness of the trade-marks or trade-names and the extent to which they have become known;</w:t>
      </w:r>
    </w:p>
    <w:p>
      <w:pPr>
        <w:numPr>
          <w:numId w:val="10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time the trade-marks or trade-names have been in use;</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wares, services or business;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trade; and</w:t>
      </w:r>
    </w:p>
    <w:p>
      <w:pPr>
        <w:numPr>
          <w:numId w:val="1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resemblance between the trade-marks or trade-names in appearance or sound or in the ideas suggested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xml:space="preserve">  According to the Supreme Court of Canada in </w:t>
      </w:r>
      <w:r>
        <w:rPr>
          <w:rFonts w:ascii="arial" w:eastAsia="arial" w:hAnsi="arial" w:cs="arial"/>
          <w:i/>
          <w:color w:val="000000"/>
          <w:sz w:val="20"/>
          <w:lang w:val="en-US" w:eastAsia="en-US" w:bidi="ar-SA"/>
        </w:rPr>
        <w:t>Masterpiece Inc. v. Alavida Lifestyles Inc.</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2011 SCC 27</w:t>
        </w:r>
      </w:hyperlink>
      <w:r>
        <w:rPr>
          <w:rFonts w:ascii="arial" w:eastAsia="arial" w:hAnsi="arial" w:cs="arial"/>
          <w:color w:val="000000"/>
          <w:sz w:val="20"/>
          <w:lang w:val="en-US" w:eastAsia="en-US" w:bidi="ar-SA"/>
        </w:rPr>
        <w:t>, the test to be applied is whether on first impression someone would be confused. In the case of viewing the CVT website, colours and layout, in comparison to that of CanaCreek, AWI contends that confusion would ensue, and in fact did ensue as demonstrated by the customer emails and phone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xml:space="preserve">  AWI submits that the name 'CanaCreek' was used in a manner that was confusing as defined by s. 6(2)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W3 used CanaCreek in the same service and product arena, marketed the same products, unlawfully marketed to the exact same customers, and blatantly held itself out to be CVT in a different guise.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xml:space="preserve">  AWI notes that confusion may depend on the type of wares or services at issue. In the case of large, elaborate and expensive purchases, the consumer is taken to have a higher appreciation of detail and exercise a higher degree of due diligence when purchasing: see </w:t>
      </w:r>
      <w:r>
        <w:rPr>
          <w:rFonts w:ascii="arial" w:eastAsia="arial" w:hAnsi="arial" w:cs="arial"/>
          <w:i/>
          <w:color w:val="000000"/>
          <w:sz w:val="20"/>
          <w:lang w:val="en-US" w:eastAsia="en-US" w:bidi="ar-SA"/>
        </w:rPr>
        <w:t>Four Seasons Hotels Ltd. v. Four Seasons Television Network Inc.</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(1992), 43 C.P.R. (3d) 139</w:t>
        </w:r>
      </w:hyperlink>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[1992] T.M.O.B. No. 158</w:t>
        </w:r>
      </w:hyperlink>
      <w:r>
        <w:rPr>
          <w:rFonts w:ascii="arial" w:eastAsia="arial" w:hAnsi="arial" w:cs="arial"/>
          <w:color w:val="000000"/>
          <w:sz w:val="20"/>
          <w:lang w:val="en-US" w:eastAsia="en-US" w:bidi="ar-SA"/>
        </w:rPr>
        <w:t xml:space="preserve">. However, in the case of relatively low cost 'household' purchases, the statutory test will be met if "ordinary casual consumers somewhat in a hurry are likely to be deceived about the origin of the wares or services": see </w:t>
      </w:r>
      <w:r>
        <w:rPr>
          <w:rFonts w:ascii="arial" w:eastAsia="arial" w:hAnsi="arial" w:cs="arial"/>
          <w:i/>
          <w:color w:val="000000"/>
          <w:sz w:val="20"/>
          <w:lang w:val="en-US" w:eastAsia="en-US" w:bidi="ar-SA"/>
        </w:rPr>
        <w:t>Mattel, Inc. v. 3894207 Canada Inc.</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2006 SCC 22</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Mattel</w:t>
      </w:r>
      <w:r>
        <w:rPr>
          <w:rFonts w:ascii="arial" w:eastAsia="arial" w:hAnsi="arial" w:cs="arial"/>
          <w:color w:val="000000"/>
          <w:sz w:val="20"/>
          <w:lang w:val="en-US" w:eastAsia="en-US" w:bidi="ar-SA"/>
        </w:rPr>
        <w:t>]. AWI says that pet supply products fall within the 'household' purchases category and that there is ample evidence that the ordinary consumer was actually confused by the actions of W3 and CanaCreek.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xml:space="preserve">  AWI submits that the inherent distinctiveness of trade-names and the extent to which it has become known is "...the very essence and is the cardinal requirement of a trademark": see </w:t>
      </w:r>
      <w:r>
        <w:rPr>
          <w:rFonts w:ascii="arial" w:eastAsia="arial" w:hAnsi="arial" w:cs="arial"/>
          <w:i/>
          <w:color w:val="000000"/>
          <w:sz w:val="20"/>
          <w:lang w:val="en-US" w:eastAsia="en-US" w:bidi="ar-SA"/>
        </w:rPr>
        <w:t>Western Clock Co. v. Oris Watch Co.</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[1931] Ex. C.R. 64</w:t>
        </w:r>
      </w:hyperlink>
      <w:r>
        <w:rPr>
          <w:rFonts w:ascii="arial" w:eastAsia="arial" w:hAnsi="arial" w:cs="arial"/>
          <w:color w:val="000000"/>
          <w:sz w:val="20"/>
          <w:lang w:val="en-US" w:eastAsia="en-US" w:bidi="ar-SA"/>
        </w:rPr>
        <w:t xml:space="preserve"> at 67, </w:t>
      </w:r>
      <w:hyperlink r:id="rId1025" w:history="1">
        <w:r>
          <w:rPr>
            <w:rFonts w:ascii="arial" w:eastAsia="arial" w:hAnsi="arial" w:cs="arial"/>
            <w:i/>
            <w:color w:val="0077CC"/>
            <w:sz w:val="20"/>
            <w:u w:val="single"/>
            <w:shd w:val="clear" w:color="auto" w:fill="FFFFFF"/>
            <w:lang w:val="en-US" w:eastAsia="en-US" w:bidi="ar-SA"/>
          </w:rPr>
          <w:t>[1931] 2 D.L.R. 775</w:t>
        </w:r>
      </w:hyperlink>
      <w:r>
        <w:rPr>
          <w:rFonts w:ascii="arial" w:eastAsia="arial" w:hAnsi="arial" w:cs="arial"/>
          <w:color w:val="000000"/>
          <w:sz w:val="20"/>
          <w:lang w:val="en-US" w:eastAsia="en-US" w:bidi="ar-SA"/>
        </w:rPr>
        <w:t xml:space="preserve">, cited with approval in </w:t>
      </w:r>
      <w:r>
        <w:rPr>
          <w:rFonts w:ascii="arial" w:eastAsia="arial" w:hAnsi="arial" w:cs="arial"/>
          <w:i/>
          <w:color w:val="000000"/>
          <w:sz w:val="20"/>
          <w:lang w:val="en-US" w:eastAsia="en-US" w:bidi="ar-SA"/>
        </w:rPr>
        <w:t>Mattel</w:t>
      </w:r>
      <w:r>
        <w:rPr>
          <w:rFonts w:ascii="arial" w:eastAsia="arial" w:hAnsi="arial" w:cs="arial"/>
          <w:color w:val="000000"/>
          <w:sz w:val="20"/>
          <w:lang w:val="en-US" w:eastAsia="en-US" w:bidi="ar-SA"/>
        </w:rPr>
        <w:t xml:space="preserve">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AWI submits that the distinctiveness and uniqueness of CVT is established in the minds of their customer base. The focal point of the name is the inclusion of the word "Canada," with CVT sourcing products internationally while listing sales in US dollars at affordable "Canadian" prices. AWI also submits that CVT has acquired a secondary meaning of providing affordable quality products and timely service, as established by customer testimonials. This would suggest that the trade-name, associated business strategy and practices of AWI are distinctive, as competitors in the market typically gear service to home jurisdictions and only offer options to purchase in their native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The trade-name CVT has been in use since 2005 in its present capacity selling pet health care products over the internet. CanaCreek, on the other hand, only began operation in 2009, after the lawful termination of the Profit Sharing Agreement. It also only operated for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The nature of the two businesses is nearly identical in every sense. The product listings and services offered were copied directly from CVT for use on CanaCreek. The primary sales focus of both companies was restricted to pet health supplies, mainly servicing dogs, cats, avian pets, with some products for reptiles and small mammals.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The nature of the trade is identical in that both companies operate in the same trade environment and deal with the same products. Neither stocks goods, but rather both move in different channels of trade and distribution to supply the end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W3 attempted to incorporate 'Canada' into the trade-name of CanaCreek, as was done with CVT. AWI alleges that when taken in conjunction with its claims of being the true heir to CVT, it is clear that W3's choice of a trade-name was designed to support its misleading statements to the public that the website name change was due to an inability to re-negotiate use of the name CVT with the domain name holder. The aim was to trick consumers into inferring that CanaCreek was run by the same company, and would provide the same services as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While all the above circumstances are to be taken into account, the actual confusion caused and W3's intention to deceive the public at large carry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AWI notes that the CVT call centre and email address received numerous complaints and inquiries regarding the claims made by CanaCreek. There have also been online blog posts which AWI alleges, somewhat hyperbolically, "have forever etched the shadow of doubts on the CVT name in the stonework of the internet, due to the actions of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xml:space="preserve">  AWI submits that the manner in which W3 used CanaCreek constitutes confusion within the meaning of s. 6(2)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and therefore W3 should be found liable for infringing the trademark of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xml:space="preserve">  Section 53.2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provides for an award of damages or profits as a remedy for infringement: see </w:t>
      </w:r>
      <w:r>
        <w:rPr>
          <w:rFonts w:ascii="arial" w:eastAsia="arial" w:hAnsi="arial" w:cs="arial"/>
          <w:i/>
          <w:color w:val="000000"/>
          <w:sz w:val="20"/>
          <w:lang w:val="en-US" w:eastAsia="en-US" w:bidi="ar-SA"/>
        </w:rPr>
        <w:t>486353 B.C. Ltd.</w:t>
      </w:r>
      <w:r>
        <w:rPr>
          <w:rFonts w:ascii="arial" w:eastAsia="arial" w:hAnsi="arial" w:cs="arial"/>
          <w:color w:val="000000"/>
          <w:sz w:val="20"/>
          <w:lang w:val="en-US" w:eastAsia="en-US" w:bidi="ar-SA"/>
        </w:rPr>
        <w:t xml:space="preserve"> at para. 53. AWI submits that it has suffered damages far in excess of the profits obtained by W3 through the operation of CanaCreek, and that the decline in sales revenue and gross profit suffered by CVT is a direct consequence of the damage to AWI and CVT's goodwill. AWI claims damages for lost gross profits in the amount of $1,993,389.55. However, as with its claim for compensation for copyright infringement, AWI is not entitled to double recovery. Nonetheless, it submits that there is some measure of additional damage that has not been mended by way of the contractual damages awarded, including condemnation for unethical business practices and for violating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xml:space="preserve">  W3's response to this claim was for the most part the same as that advanced in relation to the claim for breach of copyright. In addition, W3 submits that there was in fact very little confusion in the marketplace caused by its actions. As noted above, I have rejected the defence advanced by W3 in relation to the copyright claim, and find it no more applicable to the claim of trademark infringement. In addition, I do not accept that the confusion created by its actions was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xml:space="preserve">  I am satisfied that the conduct of W3 amounted to a breach of s. 7(b)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This amounts to a concurrent cause of action giving rise to a claim for loss of profits. However, I am satisfied that the award made pursuant to the breach of contract claim compensates AWI for its loss and make no further award pursuant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Common Law Passing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xml:space="preserve">  AWI submits that W3 is also liable for the tort of passing off, as W3 conducted the business of CanaCreek in a manner leading the public to believe that CanaCreek was actually CVT. The Court in </w:t>
      </w:r>
      <w:r>
        <w:rPr>
          <w:rFonts w:ascii="arial" w:eastAsia="arial" w:hAnsi="arial" w:cs="arial"/>
          <w:i/>
          <w:color w:val="000000"/>
          <w:sz w:val="20"/>
          <w:lang w:val="en-US" w:eastAsia="en-US" w:bidi="ar-SA"/>
        </w:rPr>
        <w:t>Ciba-Geigy Canada Ltd. v. Apotex Inc.</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[1992] 3 S.C.R. 120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Ciba-Geigy</w:t>
      </w:r>
      <w:r>
        <w:rPr>
          <w:rFonts w:ascii="arial" w:eastAsia="arial" w:hAnsi="arial" w:cs="arial"/>
          <w:color w:val="000000"/>
          <w:sz w:val="20"/>
          <w:lang w:val="en-US" w:eastAsia="en-US" w:bidi="ar-SA"/>
        </w:rPr>
        <w:t>], identified the three elements necessary to sustain a passing-off action under the common law as:</w:t>
      </w:r>
      <w:r>
        <w:rPr>
          <w:rFonts w:ascii="arial" w:eastAsia="arial" w:hAnsi="arial" w:cs="arial"/>
          <w:sz w:val="20"/>
          <w:lang w:val="en-US" w:eastAsia="en-US" w:bidi="ar-SA"/>
        </w:rPr>
        <w:cr/>
      </w:r>
    </w:p>
    <w:p>
      <w:pPr>
        <w:numPr>
          <w:numId w:val="1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goodwill;</w:t>
      </w:r>
    </w:p>
    <w:p>
      <w:pPr>
        <w:numPr>
          <w:numId w:val="1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deception to the public due to a misrepresentation by the defendant or confusion caused by the defendant; and</w:t>
      </w:r>
    </w:p>
    <w:p>
      <w:pPr>
        <w:numPr>
          <w:numId w:val="1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or potential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AWI submits that the actions taken by W3 in co-opting the design, look and feel of the CVT website, retaining the database and customer list of CVT, and distributing a solicitation email containing deceptive and misleading claims in order to appropriate the goodwill of AWI and CVT gives rise to an actionable claim for the tort of passing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xml:space="preserve">  In sustaining a claim for passing off, it is not necessary for AWI to prove actual damage; if goodwill has been interfered with, damage is presumed to result: see </w:t>
      </w:r>
      <w:r>
        <w:rPr>
          <w:rFonts w:ascii="arial" w:eastAsia="arial" w:hAnsi="arial" w:cs="arial"/>
          <w:i/>
          <w:color w:val="000000"/>
          <w:sz w:val="20"/>
          <w:lang w:val="en-US" w:eastAsia="en-US" w:bidi="ar-SA"/>
        </w:rPr>
        <w:t>Visa International Service Assn. v. Visa Motel Corp.</w:t>
      </w:r>
      <w:r>
        <w:rPr>
          <w:rFonts w:ascii="arial" w:eastAsia="arial" w:hAnsi="arial" w:cs="arial"/>
          <w:color w:val="000000"/>
          <w:sz w:val="20"/>
          <w:lang w:val="en-US" w:eastAsia="en-US" w:bidi="ar-SA"/>
        </w:rPr>
        <w:t xml:space="preserve"> (1984), 1 C.P.R. (3d) 109 at 121, </w:t>
      </w:r>
      <w:hyperlink r:id="rId1027" w:history="1">
        <w:r>
          <w:rPr>
            <w:rFonts w:ascii="arial" w:eastAsia="arial" w:hAnsi="arial" w:cs="arial"/>
            <w:i/>
            <w:color w:val="0077CC"/>
            <w:sz w:val="20"/>
            <w:u w:val="single"/>
            <w:shd w:val="clear" w:color="auto" w:fill="FFFFFF"/>
            <w:lang w:val="en-US" w:eastAsia="en-US" w:bidi="ar-SA"/>
          </w:rPr>
          <w:t>[1984] B.C.J. No. 1746</w:t>
        </w:r>
      </w:hyperlink>
      <w:r>
        <w:rPr>
          <w:rFonts w:ascii="arial" w:eastAsia="arial" w:hAnsi="arial" w:cs="arial"/>
          <w:color w:val="000000"/>
          <w:sz w:val="20"/>
          <w:lang w:val="en-US" w:eastAsia="en-US" w:bidi="ar-SA"/>
        </w:rPr>
        <w:t xml:space="preserve"> (C.A.), aff'g (1983), 1 C.P.R. (3d) 109 at 112, </w:t>
      </w:r>
      <w:hyperlink r:id="rId1028" w:history="1">
        <w:r>
          <w:rPr>
            <w:rFonts w:ascii="arial" w:eastAsia="arial" w:hAnsi="arial" w:cs="arial"/>
            <w:i/>
            <w:color w:val="0077CC"/>
            <w:sz w:val="20"/>
            <w:u w:val="single"/>
            <w:shd w:val="clear" w:color="auto" w:fill="FFFFFF"/>
            <w:lang w:val="en-US" w:eastAsia="en-US" w:bidi="ar-SA"/>
          </w:rPr>
          <w:t>[1983] B.C.J. No. 1670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Veuve Clicquot Ponsardin v. Boutiques Cliquot Lt</w:t>
      </w:r>
      <w:r>
        <w:rPr>
          <w:rFonts w:ascii="arial" w:eastAsia="arial" w:hAnsi="arial" w:cs="arial"/>
          <w:color w:val="000000"/>
          <w:sz w:val="20"/>
          <w:lang w:val="en-US" w:eastAsia="en-US" w:bidi="ar-SA"/>
        </w:rPr>
        <w:t xml:space="preserve">ée, </w:t>
      </w:r>
      <w:hyperlink r:id="rId1029" w:history="1">
        <w:r>
          <w:rPr>
            <w:rFonts w:ascii="arial" w:eastAsia="arial" w:hAnsi="arial" w:cs="arial"/>
            <w:i/>
            <w:color w:val="0077CC"/>
            <w:sz w:val="20"/>
            <w:u w:val="single"/>
            <w:shd w:val="clear" w:color="auto" w:fill="FFFFFF"/>
            <w:lang w:val="en-US" w:eastAsia="en-US" w:bidi="ar-SA"/>
          </w:rPr>
          <w:t>2006 SCC 23</w:t>
        </w:r>
      </w:hyperlink>
      <w:r>
        <w:rPr>
          <w:rFonts w:ascii="arial" w:eastAsia="arial" w:hAnsi="arial" w:cs="arial"/>
          <w:color w:val="000000"/>
          <w:sz w:val="20"/>
          <w:lang w:val="en-US" w:eastAsia="en-US" w:bidi="ar-SA"/>
        </w:rPr>
        <w:t xml:space="preserve"> at para. 50 [</w:t>
      </w:r>
      <w:r>
        <w:rPr>
          <w:rFonts w:ascii="arial" w:eastAsia="arial" w:hAnsi="arial" w:cs="arial"/>
          <w:i/>
          <w:color w:val="000000"/>
          <w:sz w:val="20"/>
          <w:lang w:val="en-US" w:eastAsia="en-US" w:bidi="ar-SA"/>
        </w:rPr>
        <w:t>Veuve Clicquot</w:t>
      </w:r>
      <w:r>
        <w:rPr>
          <w:rFonts w:ascii="arial" w:eastAsia="arial" w:hAnsi="arial" w:cs="arial"/>
          <w:color w:val="000000"/>
          <w:sz w:val="20"/>
          <w:lang w:val="en-US" w:eastAsia="en-US" w:bidi="ar-SA"/>
        </w:rPr>
        <w:t>], defined goodwill as connoting "the positive association that attracts customers towards its owner's wares or services rather than those of its competitors."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xml:space="preserve">  The meaning of goodwill described by the Court in </w:t>
      </w:r>
      <w:r>
        <w:rPr>
          <w:rFonts w:ascii="arial" w:eastAsia="arial" w:hAnsi="arial" w:cs="arial"/>
          <w:i/>
          <w:color w:val="000000"/>
          <w:sz w:val="20"/>
          <w:lang w:val="en-US" w:eastAsia="en-US" w:bidi="ar-SA"/>
        </w:rPr>
        <w:t>Veuve Clicquot</w:t>
      </w:r>
      <w:r>
        <w:rPr>
          <w:rFonts w:ascii="arial" w:eastAsia="arial" w:hAnsi="arial" w:cs="arial"/>
          <w:color w:val="000000"/>
          <w:sz w:val="20"/>
          <w:lang w:val="en-US" w:eastAsia="en-US" w:bidi="ar-SA"/>
        </w:rPr>
        <w:t xml:space="preserve"> is consistent with that in </w:t>
      </w:r>
      <w:r>
        <w:rPr>
          <w:rFonts w:ascii="arial" w:eastAsia="arial" w:hAnsi="arial" w:cs="arial"/>
          <w:i/>
          <w:color w:val="000000"/>
          <w:sz w:val="20"/>
          <w:lang w:val="en-US" w:eastAsia="en-US" w:bidi="ar-SA"/>
        </w:rPr>
        <w:t>Ciba-Geigy</w:t>
      </w:r>
      <w:r>
        <w:rPr>
          <w:rFonts w:ascii="arial" w:eastAsia="arial" w:hAnsi="arial" w:cs="arial"/>
          <w:color w:val="000000"/>
          <w:sz w:val="20"/>
          <w:lang w:val="en-US" w:eastAsia="en-US" w:bidi="ar-SA"/>
        </w:rPr>
        <w:t xml:space="preserve"> at 132-33, where the Court found that the 'get up' or mark, must have a secondary meaning attached to it in the minds of the customers. It is this secondary meaning which draws the customers to the specific company over their competitors.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Similar to the manner in which the CVT name can be considered an unregistered trademark, AWI submits that the existence of goodwill stems from the branding of CVT and is evidenced by the fact that repeat customers helped ensure CVT operations were profitable in every month from August 2005 to April 2009. Goodwill reflects the propensity of a customer to repeat his or her business. In accounting terms, goodwill is an asset representing the difference in value of a corporation over the sum of its tangible assets. Put another way, it is the discounted present value of the future profits of 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AWI submits that the CVT website consists of distinctive branding and a sales strategy of marketing quality pet health products to U.S. consumers at affordable prices in USD. The branding of CVT also consists of the value added services provided to customers, such as advice and articles provided by veterinarians. Taken together, AWI submits the CVT brand has acquired a secondary meaning in the minds of its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xml:space="preserve">  AWI submits there is an abundance of evidence demonstrating W3 intentionally and actually deceived the public as to the operation, ownership and lineage of CanaCreek, along with the status, reputation and business practices of CVT and AWI. Although the intent to deceive the public is not necessary to ground a claim of passing off, where such an intent can be proven it is more easily concluded that deception and confusion are established: see </w:t>
      </w:r>
      <w:r>
        <w:rPr>
          <w:rFonts w:ascii="arial" w:eastAsia="arial" w:hAnsi="arial" w:cs="arial"/>
          <w:i/>
          <w:color w:val="000000"/>
          <w:sz w:val="20"/>
          <w:lang w:val="en-US" w:eastAsia="en-US" w:bidi="ar-SA"/>
        </w:rPr>
        <w:t>Cadbury-Schweppes Property Ltd. v. Pub Squash Co. Property</w:t>
      </w:r>
      <w:r>
        <w:rPr>
          <w:rFonts w:ascii="arial" w:eastAsia="arial" w:hAnsi="arial" w:cs="arial"/>
          <w:color w:val="000000"/>
          <w:sz w:val="20"/>
          <w:lang w:val="en-US" w:eastAsia="en-US" w:bidi="ar-SA"/>
        </w:rPr>
        <w:t>, [1981] 1 W.L.R. 193, [1981] 1 All E.R. 213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The testimony of Marcellus Wong in cross-examination established that W3 intended to deceive the public when creating CanaCreek. Mr. Wong testified that the primary purpose of copying the CVT website was to align the CanaCreek website with the old CVT website in order to appropriate as many of the old CVT customers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W3 copied CVT and used it as a template for CanaCreek, making only minor text and colour alterations. AWI's decision to use "Canada" in the name of CVT was deliberate and done to distinguish their products, services and company to American consumers as being from Canada, while servicing U.S. consumers in USD. W3's choice to utilize the name "CanaCreek" was done to imitate CVT in this respect and to purport a linkage between CVT and CanaCreek.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AWI submits that W3 diverted, to its own benefit, the toll-free number established for use by CVT under the terms of the Profit Sharing Agreement. The purpose of co-opting the toll-free number was to divert the business of CVT to CanaCreek. In doing this, CanaCreek and W3 failed to inform customers that the individuals being spoken with and company being dealt with were not representatives of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In the solicitation email sent out by W3 to prior CVT customers, entitled "CanaCreekVets - Old Friend, New Name!", W3 intentionally deceived customers by stating that the reason for the domain name change, from CVT to CanaCreek, was due to a failure during the negotiation process to renew their licence over the domain name. In addition, W3 placed a deceptively vague disclaimer containing a half-truth in the footer of their emails. The disclaimer stated that the website using the CVT domain name was not associated with CanaCreek. The tenor of the email and statements regarding customers not providing their personal account information to anyone leads to the implication that CVT was untrustworthy. W3 knowingly and wilfully fabricated this information in order to gain the trust of customers and benefit of the goodwill attached to the CVT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W3 deliberately deceived customers in its solicitation email by claiming CanaCreek was the same business the customers had been dealing with for the past five years. The email stated that CanaCreek would provide the same "trusted" service the customers experienced in their past dealings and that account and previous order information had been retained by them. This was done to perpetuate the facade that CanaCreek was in fact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W3 also intentionally misrepresented its retention of the call centre number, hours and location as evidence of its legitimate claim to the previous online business conducted under the domain name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The overall impression of the email, in conjunction with the disclaimer regarding personal account information, created the misconception that CVT was being operated by unauthorized individuals with whom the customers have never had prior business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Steven received emails from previous customers inquiring whether CanaCreek was the same service provider as CVT. These inquiries specifically mentioned and attached copies of the email from CanaCreek purportedly explaining the change in domain names. These emails, and the fact that CanaCreek was virtually identical to CVT, constitute clear evidence that customers were deliberately misled and deceived by the emails sent out by W3 regarding the websites and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AWI submits that all these issues combine to create a picture going beyond mere competition in a free market economy. The actions and strategy of W3 were deliberately executed to improperly take advantage of and benefit from the goodwill garnered by AWI during the course of its operation of CVT, and to deceive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AWI submits that there is evidence of actual damage to the goodwill of both CVT and AWI. On the facts, there are emails from previous customers to CVT following W3's mass solicitation of customers listed in the CVT customer database. One customer stated she believed that the proprietors of CVT were a "pretty sleazy bunch" and that "you don't have any personal information on me because I wasn't doing business with you and you couldn't acquire [my personal account information and purchase history] when you took over the domain name used by the original company which is currently doing business as CanaCreek.com..." The customer also stated "I have notified anyone I ever - recommended the CVT company I have been doing business with about the subterfuge you're trying to pull and have given them CanaCreek.com's new e-mail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W3 benefited from and traded off the goodwill CVT developed with their customers listed in the customer database. As W3 had previously run an online pharmaceutical sales business, nothing was stopping it from running a similar business after termination of the Profit Sharing Agreement in the pet supply market. However, W3 was not entitled to trade off the name, history, website, protected and confidential clientele or hard-earned goodwill of CVT. In fact, the actions taken by W3 are in direct violation of clause 6 of the Profit Sharing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AWI submits the significant decline in sales after termination of the Profit Sharing Agreement is a direct result of W3's appropriation of AWI and CVT's goodwill and the confusion created in the marketplace by the breaches of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xml:space="preserve">  The remedies available to AWI for W3's passing off are similar to the remedies available for infringement of a registered trademark. Specifically, AWI is entitled to claim damages which can include damage caused by the loss of sales and damage to AWI's trade reputation: see M.A. Jones, ed.,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20th ed. (London: Thomson Reuters (Legal), 2010) at 1831-32.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AWI once again claims damages in the amount of $1,993,389.55 for the lost gross profits caused by the confusion in the marketplace due to the operation of CanaCreek, subject to a reduction of this amount as provided in the breach of contract section above. AWI submits that to the extent that its contractual damages are reduced below what is claimed, a recovery is appropriate under this head to reflect the damage suffered by the passing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W3's response to this claim was essentially the same as that with respect to the claim for breach of copyright. As noted, I have rejected these defences. I am satisfied that AWI has established the existence of goodwill, deception of the public due to a misrepresentation by W3 and confusion caused by the actions of W3. I am also satisfied that these wrongful actions of W3 caused damage to AWI. However, in my view AWI will receive compensation for these wrongful actions through the damages for breach of contract I have awarded and I decline to make an award pursuant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W3's Additional Counterclaims re CVT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Claim for Trailing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W3 counterclaimed for trailing profits calculated with reference to the Profit Sharing Agreement. Clause 4.3 provided that if VetShop terminated the agreement under clause 4.1, except by reason of some default by W3, W3 would be entitled to trailing profits calculated pursuant to a formula for 24 months for sales made to existing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This claim was premised upon the termination being found not to be the result of a default on the part of W3. I have concluded that the termination was done on the basis of default on the part of W3 that was not rectified pursuant to the notice given. AWI was therefore entitled to terminate the Profit Sharing Agreement and W3 has no entitlement to trailing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W3 alleges a civil conspiracy as follows:</w:t>
      </w:r>
      <w:r>
        <w:rPr>
          <w:rFonts w:ascii="arial" w:eastAsia="arial" w:hAnsi="arial" w:cs="arial"/>
          <w:sz w:val="20"/>
          <w:lang w:val="en-US" w:eastAsia="en-US" w:bidi="ar-SA"/>
        </w:rPr>
        <w:cr/>
      </w:r>
    </w:p>
    <w:p>
      <w:pPr>
        <w:numPr>
          <w:numId w:val="1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Beginning in or about April 2005 the VetShop Group or two or more of its members agreed with one another, to do one or more of the following:</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the Representations referred to above;</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thereby induce W3 International to enter into the Profit-Sharing Agreement;</w:t>
      </w:r>
    </w:p>
    <w:p>
      <w:pPr>
        <w:numPr>
          <w:numId w:val="1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cause W3 International to provide technical support services not only in relation to Canadavet.com but in relation to other websites of the VetShop Group including Vetshoponline.com and CanadaVetDirect.com;</w:t>
      </w:r>
    </w:p>
    <w:p>
      <w:pPr>
        <w:numPr>
          <w:numId w:val="1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cause W3 International to permit the VetShop Group to utilize credit and credit card credit of W3 International;</w:t>
      </w:r>
    </w:p>
    <w:p>
      <w:pPr>
        <w:numPr>
          <w:numId w:val="1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induce the purported termination of the Profit-sharing Agreement;</w:t>
      </w:r>
    </w:p>
    <w:p>
      <w:pPr>
        <w:numPr>
          <w:numId w:val="1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transfer the Vetshoponline.com URL from Animal Welfare to Pet Supplies and to transfer the Canadavet.com URL from Animal Welfare to Ani Welf.</w:t>
      </w:r>
    </w:p>
    <w:p>
      <w:pPr>
        <w:numPr>
          <w:numId w:val="1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 acting, the predominant purpose of the VetShop Group, or the members of the VetShop Group who participated in the aforesaid scheme, was to cause harm to W3 International. In particular, but without restricting the generality of the foregoing, the purpose was to harm W3 International by substantially understating the profits paid or payable to W3 International pursuant to the Profit-Sharing Agreement, causing W3 International to provide services without being paid for those services, and taking active steps to defeat, hinder and delay any effort by W3 International to recover its losses.</w:t>
      </w:r>
    </w:p>
    <w:p>
      <w:pPr>
        <w:numPr>
          <w:numId w:val="1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conduct of the VetShop Group or the members of the VetShop Group who participated in the aforesaid scheme, was unlawful in that:</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included a scheme by which W3 International would be induced by the Representations to enter into the Profit-Sharing Agreement with Animal Welfare, a shell company;</w:t>
      </w:r>
    </w:p>
    <w:p>
      <w:pPr>
        <w:numPr>
          <w:numId w:val="1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involved a breach of the Profit-Sharing Agreement and a breach of fiduciary obligations to W3 International pursuant to the Profit-Sharing Agreement;</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involved the transfer of the URL for Vetshoponline.com from Animal Welfare to Pet Supplies with the intent of hindering, delaying and defrauding creditors of Animal Welfare;</w:t>
      </w:r>
    </w:p>
    <w:p>
      <w:pPr>
        <w:numPr>
          <w:numId w:val="1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involved the transfer of the URL for Canadavet.com from Animal Welfare to Ani Welf with the intent of hindering, delaying and defrauding creditors of Animal Welfare;</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involved the procurement of services and credit from W3 International by unlawful means; and</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involved an unlawful termination of the Profit-Sharing Agreement and an unlawful deprivation to W3 International of its profit-share entitlement to at least September 12, 2009 pursuant to the Profit-Share Agreement and and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twenty-four (24) months Trailing Profits pursuant to paragraph 4.3 of the Profit-Sharing Agreement.</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VetShop Group or the members of the VetShop Group who participated in the aforesaid scheme knew that the overstatement of product, packaging and shipping costs would not be easily discoverable by W3 International, and the VetShop Group actively resisted responding to requests by W3 International and its advisors for proper documentation evidencing its true costs of product and of packaging and shipping.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Cruise Connections Canada v. Cancellieri</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2012 BCSC 53</w:t>
        </w:r>
      </w:hyperlink>
      <w:r>
        <w:rPr>
          <w:rFonts w:ascii="arial" w:eastAsia="arial" w:hAnsi="arial" w:cs="arial"/>
          <w:color w:val="000000"/>
          <w:sz w:val="20"/>
          <w:lang w:val="en-US" w:eastAsia="en-US" w:bidi="ar-SA"/>
        </w:rPr>
        <w:t xml:space="preserve"> at paras. 249-52, Mr. Justice Pearlman provided a useful summary of the applicable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[249] A conspiracy consists of an agreement of two or more persons to do an unlawful act or to do a lawful act by unlawful means: </w:t>
      </w:r>
      <w:r>
        <w:rPr>
          <w:rFonts w:ascii="arial" w:eastAsia="arial" w:hAnsi="arial" w:cs="arial"/>
          <w:i/>
          <w:color w:val="000000"/>
          <w:sz w:val="20"/>
          <w:lang w:val="en-US" w:eastAsia="en-US" w:bidi="ar-SA"/>
        </w:rPr>
        <w:t>Golden Capital Securities Ltd. v. Rempel</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2004 BCCA 565</w:t>
        </w:r>
      </w:hyperlink>
      <w:r>
        <w:rPr>
          <w:rFonts w:ascii="arial" w:eastAsia="arial" w:hAnsi="arial" w:cs="arial"/>
          <w:color w:val="000000"/>
          <w:sz w:val="20"/>
          <w:lang w:val="en-US" w:eastAsia="en-US" w:bidi="ar-SA"/>
        </w:rPr>
        <w:t xml:space="preserve"> at para. 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[250] In </w:t>
      </w:r>
      <w:r>
        <w:rPr>
          <w:rFonts w:ascii="arial" w:eastAsia="arial" w:hAnsi="arial" w:cs="arial"/>
          <w:i/>
          <w:color w:val="000000"/>
          <w:sz w:val="20"/>
          <w:lang w:val="en-US" w:eastAsia="en-US" w:bidi="ar-SA"/>
        </w:rPr>
        <w:t>Canada Cement LaFarge Ltd. v. British Columbia Lightweight Aggregate Ltd.</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at 471-72, the Court set out the elements of the tort of conspiracy: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the law concerning the scope of the tort of conspiracy is far from clear, I am of the opinion that whereas the law of tort does not permit an action against an individual defendant who has caused injury to the plaintiff, the law of torts does recognize a claim against them in combination as the tort of conspiracy if:</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that injury to the plaintiff is likely to and does result.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situation (2) it is not necessary that the pre-dominant purpose of the defendants' conduct be to cause injury to the plaintiff but, in the prevailing circumstances, it must be a constructive intent derived from the fact that the defendants should have known that injury to the plaintiff would ensue. In both situations, however, there must be actual damage suffered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[251] McEachern C.J.B.C. stated the elements of the tort in </w:t>
      </w: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(1993), 96 B.C.L.R. (2d) 156</w:t>
        </w:r>
      </w:hyperlink>
      <w:r>
        <w:rPr>
          <w:rFonts w:ascii="arial" w:eastAsia="arial" w:hAnsi="arial" w:cs="arial"/>
          <w:color w:val="000000"/>
          <w:sz w:val="20"/>
          <w:lang w:val="en-US" w:eastAsia="en-US" w:bidi="ar-SA"/>
        </w:rPr>
        <w:t xml:space="preserve"> (B.C.C.A.) at para. 5:</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between two or more persons;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concerted action taken pursuant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888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w:t>
            </w:r>
          </w:p>
        </w:tc>
        <w:tc>
          <w:tcPr>
            <w:tcW w:w="870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lawful, there must be evidence that the conspirators intended to cause damage to the plaintiff;</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unlawful, there must at least be evidence that the conspirators knew or ought to have known that their action would injure the plaintiff (i.e., constructive intent);</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damage suffered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[252] Finally, in </w:t>
      </w:r>
      <w:r>
        <w:rPr>
          <w:rFonts w:ascii="arial" w:eastAsia="arial" w:hAnsi="arial" w:cs="arial"/>
          <w:i/>
          <w:color w:val="000000"/>
          <w:sz w:val="20"/>
          <w:lang w:val="en-US" w:eastAsia="en-US" w:bidi="ar-SA"/>
        </w:rPr>
        <w:t>Golden Capital Securities Ltd.</w:t>
      </w:r>
      <w:r>
        <w:rPr>
          <w:rFonts w:ascii="arial" w:eastAsia="arial" w:hAnsi="arial" w:cs="arial"/>
          <w:color w:val="000000"/>
          <w:sz w:val="20"/>
          <w:lang w:val="en-US" w:eastAsia="en-US" w:bidi="ar-SA"/>
        </w:rPr>
        <w:t>, the Court of Appeal summarized the circumstances in which liability for conspiracy will arise at para. 58: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then say that liability in conspiracy will arise where two or more have agreed to carry out a common design by unlawful means, directed at a third person, if those who have agreed knew, or in the circumstances should have known, that injury to that person was likely in the sense that it was clearly expected, and the injury was sustained as a result of the agreed upon means being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With respect to an allegation of a conspiracy involving unlawful conduct, I have found no such conduct. I have concluded that no false representations were made to induce W3 to enter into the Profit Sharing Agreement or to provide services in relation to the CVD and VSO websites. I have concluded that AWI did not breach the Profit Sharing Agreement. The only breach of fiduciary duty was W3's breach of trust in relation to the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It is the case that contractual arrangements were entered into between W3 and various entities with respect to the provision of services in relation to CVT, CVD and VSO. It is also the case that W3 used its credit cards from time to time to pay expenses in relation to these projects; however, these actions were not induced by any false representations as alleged. The only wrongful act with respect to payment of charges was that of W3's use of CVT funds to pay charges in relation to CVD.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I have found that AWI was entitled to terminate the Profit Sharing Agreement and that it did not do so in breach of the contract. Finally, I have concluded that there was nothing unlawful about the transfers of the VSO and CVT URLS. I have concluded that these were transfers made in the ordinary course of business to further the commercial objectives of the relevant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In addition, in my view there is no evidence to substantiate a conclusion that the predominate purpose of the actions of any of the individuals or corporate entities was to injure W3. Thus, W3 has failed to establish that there is any unlawful act directed at W3 and that the defendants by counterclaim, or any of them, intended to injure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Accordingly the claim of conspiracy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Inducing Breach of Contract/Unjust Enrichment/Disgorgement/Conversion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xml:space="preserve">  The tort of inducing breach of contract is committed where a defendant induces a third party to breach a contract between itself and the plaintiff and, as a result, the plaintiff suffers damage: see </w:t>
      </w:r>
      <w:r>
        <w:rPr>
          <w:rFonts w:ascii="arial" w:eastAsia="arial" w:hAnsi="arial" w:cs="arial"/>
          <w:i/>
          <w:color w:val="000000"/>
          <w:sz w:val="20"/>
          <w:lang w:val="en-US" w:eastAsia="en-US" w:bidi="ar-SA"/>
        </w:rPr>
        <w:t>Slade &amp; Stewart Ltd. et al. v. Haynes et al.</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(1969), 5 D.L.R. (3d) 736</w:t>
        </w:r>
      </w:hyperlink>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69 W.W.R. 374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W3 alleges that the Perissinottos and what it defines as the Vetshop Group, which includes VetshopAustralia, GDS, Ani Welf, Pet Supplies USA and Pavillion, induced breaches and the wrongful termination of the Profit Sharing Agreement. However, I have concluded that the Profit Sharing Agreement was not breached by the plaintiffs and that AWI was entitled to terminate the Profit Sharing Agreement because of W3's breach of contract. Accordingly the claim of inducing breach of contract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W3 also pleads as follows regarding its claim of unjust enrichment:</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VetShop Group, or one or more of its members, has been unjustly enriched by reason of their conduct described herein, and in particular:</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over-charging Canadavet.com to the detriment of W3 International for the costs of product, packaging and shipping for Canadavet.com;</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thereby underpaying W3 International its rightful share of the profits of Canadavet.com pursuant to the Profit-Sharing Agreement;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depriving W3 International of its profit-share entitlement to at least September 12, 2009 pursuant to the Profit-Share Agreement and twenty-four (24) months of Trailing Profits pursuant to paragraph 4.3 of the Profit-Sharing Agreement.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services rendered by W3 International in relation to Vetshoponline.com and CanadavetDirect.com; and</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use of credit card accounts of W3 International for the benefit of the VetShop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As noted above, I have concluded that W3 has not established that AWI overcharged W3 for the costs of goods, packaging or shipping in relation to the CVT project. W3 was not deprived of its rightful share of the profits. On the contrary, I have concluded that it was W3 that wrongfully deprived AWI of its rightful share of the profits and that AWI was entitled to terminate the Profit Sharing Agreement as a consequence of W3's unremedied default. Accordingly, W3 was not entitled to trailing profits pursuant to the Profit Sharing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W3 did provide service in relation to VSO and CVD. However, in each case the services were provided pursuant to contractual arrangements. Accordingly, there is no basis for a claim by W3 of unjust enrichment 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W3's credit cards were used to pay expenses in relation to the CVT and CVD projects. The credit cards were used by Ms. Wong, not by any member of what W3 calls the VetShop Group. The cards were used by Ms. Wong pursuant to the contractual arrangements with AWI in the case of CVT and Pavillion in the case of CVD. Such use gives rise to no entitlement by W3 to claim in unjust enrichment 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Claims re Pavillion - CVD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Counterclaim by Pavillion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Pavillion brought a counterclaim against W3 in which it alleged, among many other allegations that were not pressed at trial, that W3, without cause and without notice, terminated Pavillion's access to the CVD backend. Pavillion asserts that W3 also terminated Pavillion's access to the CVD toll-free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Pavillion notes that upon the involvement of Mr. Kumar in the business of Pet Supplies, Pavillion engaged in negotiations with W3 and Ms. Wong for the establishment of a series of additional websites. The parties negotiated the Participation Agreement and although it was not ultimately signed, Pavillion submits that all parties conducted themselves as if bound by its terms. CVD was established as a consequence, whereby W3 was to earn a 14.28% interest in CVD. Later it was agreed that W3's share would be 25% to reflect the equal interests of Mr. Kumar and the other corporate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Pavillion submits that the contract provided that W3 was to create and provide "a sturdy backend to support the Websites (i.e. support order management, payment processing and stock and customer control as is usual for high end fully functional e-commerce websites) using W3's proprietary software." W3 was also to provide additional services such as hosting, call centre and marketing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Steven testified that the operations of CVD in the summer of 2007 were adversely affected by virtue of runaway online advertising costs and insufficient controls being maintained by W3 on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Throughout its history of operations, CVD sold significantly less product than either CVT or VSO. Unlike CVT, which never turned in an unprofitable month, costs for CVD often exceeded sales revenue until costs were contained in August of 2008. Steven testified that by October of that year, CVD was profitable in each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In the summer and fall of 2007, CVD fell victim to the same service disruptions as VSO and CVT. Pavillion argues, relying on the testimony of Mr. North, that the root of the problems was software programming, such that the service disruptions to VSO and CVD were "tied" to each other, and that by reason of common software a programming error in one would trigger an error in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Pavillion submits that the costs of operating CVD fell to the individuals involved. Mark and Steven carried much of the costs of goods, as there were insufficient monies to pay all costs. Ms. Wong stated that she would carry some of the advertising costs that were incurred and put up "her" credit card to pay online advertising costs. However, as noted above, Ms. Wong in fact was wrongfully using funds from the CVT account to cover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Pavillion owned the URL for CVD. Upon termination of the Profit Sharing Agreement, Ms. Wong denied Pavillion access to the backend and database of CVD. Pavillion submits that in the absence of access to the order and processing information in the backend of CVD, its ability to conduct its business was entirely compromised. Pavillion made the decision to redirect CVD customers to CVT in order to salvage what business it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Pavillion submits that Ms. Wong's evidence to the effect that it was not her, but rather Steven and Mark's election to redirect the CVD customers to another webpage, that caused the demise of CVD is disingenuous. It submits that but for the denial of access to the backend of the CVD database, CVD could and would have continued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Pavillion submits that W3 had no right to deny Pavillion access to the backend of CVD's database and that no statements had been made by Pavillion that its business was not expected to continue. Counsel submits that shutting out Pavillion was a further step in the efforts of W3 and Ms. Wong to cripple the businesses of AWI and Pavillion, and to attempt to appropriate as much of their business as W3 could through the operation of the CanaCreek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At the time Pavillion's access to the backend was blocked, it owed substantial amounts to the Perissinottos and Mr. Kumar. Mark estimated that he and Steven were owed $179,000 for various expenses that were paid by them, and Steven testified that Mr. Kumar was owed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Steven testified that he had to obtain a replacement toll-free number for CVD at a cost of $2,000, so that customers could communicate with them as they were denied the use of the original toll-free number by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Pavillion submits that despite the lower profitability of CVD, it was nonetheless of some value. Steven testified that customer lists could fetch $20.00 per name and as such, the 14,000 customers, all of recent vintage as CVD had started up in May 2007, would be valued at $280,000.00.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Assessing damages from the perspective of cost per customer acquisition was discussed in the AWI damage assessment. Here, the cost per acquisition was $13.85 per customer. This number compares to the cost per acquisition that had been calculated for AWI. The customer list was maintained in the backend of the database in the possession of W3 and was not delivered up to Pavillion by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Counsel submits that a substantial amount of human capital and effort had been put into Pavillion to operate it as a business. Pavillion lost its ability to earn future income or otherwise dispose of its assets and pay its debts. Pavillion remains indebted to Steven, Mark and Mr. Kumar in the amount of $229,000.00 and, by virtue of the actions of W3, it is unable to discharge its debt obligations. Pavillion submits that it should be compensated for the loss of ability to discharge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Steven testified that CVD could have been operated in a way to make it more profitable and, despite prior problems associated with the software that was provided by W3, it could have been turned into a profitable venture if it had continued uninterrupted.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Pavillion submits that it has suffered $250,000 in damages and that it ought to be awarded that amount upon its counterclaim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The position of W3 is that Pavillion failed to disclose documents to support its claim. It submits that Pavillion produced no financial records, bank statements, or sales records, nor has it accounted for the funds distributed when the website was shut down. W3 submits further that the CVD website was always unprofitable for reasons unrelated to the claims against W3, and so Pavillion's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W3's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W3 seeks to recover $42,106.95 "advanced" by W3 in relation to the operation of CVD, and $149,732 in relation to the CVD credit card expenses. This latter amount was wrongfully taken by W3 from the CVT account and used to pay the credit charges incurred by W3 in relation to CVD advertising.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I find that W3 did block Pavillion's access to the CVD backend. This effectively disabled the site, thereby preventing it from carrying on business. Ms. Wong stated that this action was taken to bring economic pressure on the Perissinottos in relation to the CVT dispute. I find that this action was clearly wrongful and in breach of W3's obligations to Pavillion. I find further that this wrongful act was the cause of the subsequent decision by Pavillion to cease operations. I conclude that Pavillion is entitled to damages to compensate for its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I find that although the Participation Agreement was never signed, it was finalized in the sense that all parties agreed to its terms and it formed the basis of the parties' ongoing contractual relationship. Pursuant to that agreement, Pavillion owned the enterprise, the website and, in particular, the customer list. W3 retained the customer list, which I find it was not entitled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I accept that a customer list has value not just in the ongoing operation of a business, but as a commodity that can be sold in the marketplace. However, I am not prepared to conclude in the absence of independent evidence that this customer list could have been sold for $20 per name or that the cost per acquisition bears any relation to what the list could sell for on the open market. In the circumstances, I award Pavillion $10,000 as nominal damages for the wrongful retention by W3 of the customer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Pavillion advances a claim for the loss of the opportunity to earn profits in the venture that resulted from W3's wrongful acts. Pavillion argues that it was on the verge of becoming a profitable venture and that because of W3's wrongful act, it lost the opportunity to repay its debts to its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It is somewhat difficult to reconcile the evidence with respect to Pavillion's operations. In particular, I have difficulty reconciling the statement of Pavillion's debts to the Perissinottos contained in the email of May 19, 2009 with the statement of CVD sales versus cost of goods. However, on the footing of either document, CVD was in a net deficit situation viewed through the history of its operation. It had, however, attained modest gross profits in the months following September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xml:space="preserve">  The approach the court is to take in assessing damages in such circumstances, as noted earlier, is that described by Madam Justice Saunders in </w:t>
      </w:r>
      <w:r>
        <w:rPr>
          <w:rFonts w:ascii="arial" w:eastAsia="arial" w:hAnsi="arial" w:cs="arial"/>
          <w:i/>
          <w:color w:val="000000"/>
          <w:sz w:val="20"/>
          <w:lang w:val="en-US" w:eastAsia="en-US" w:bidi="ar-SA"/>
        </w:rPr>
        <w:t>Shanahan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In the present case, I find that Pavillion has suffered a probable loss in that as a result of the actions of W3, its business was closed. However, the statement of gross profits shows the following extremely modest amounts for the months during which CVD turned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464"/>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Oct 08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$482.69</w:t>
            </w:r>
          </w:p>
        </w:tc>
        <w:tc>
          <w:tcPr>
            <w:tcW w:w="788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Nov 08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$2,325.68</w:t>
            </w:r>
          </w:p>
        </w:tc>
        <w:tc>
          <w:tcPr>
            <w:tcW w:w="788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Dec 08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$1,059.63</w:t>
            </w:r>
          </w:p>
        </w:tc>
        <w:tc>
          <w:tcPr>
            <w:tcW w:w="788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Jan 09</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$600.55</w:t>
            </w:r>
          </w:p>
        </w:tc>
        <w:tc>
          <w:tcPr>
            <w:tcW w:w="788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Feb 09</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$1,351.53</w:t>
            </w:r>
          </w:p>
        </w:tc>
        <w:tc>
          <w:tcPr>
            <w:tcW w:w="788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Mar 09</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$2,421.10</w:t>
            </w:r>
          </w:p>
        </w:tc>
        <w:tc>
          <w:tcPr>
            <w:tcW w:w="788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In these circumstances I conclude that damages are nominal and award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With respect to the claim in relation to the toll-free number, the email from Ms. Wong instructing Mr. North to suspend the toll-free numbers for CVD and VSO was dated June 1, 2009. However, on May 19, 2009, Mark and Steven were in discussions with Mr. Kumar which culminated in the decision to close the site. Mr. Kumar signalled his agreement with that decision by email dated May 21, 2009. If a new toll-free number was obtained in those circumstances, it would not be a reasonable expense. I decline to make an award with respect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With respect to the claims of W3, the statement in evidence shows that at the time the CVD website was closed, the project remained in an overall deficit position. The wrongful actions of W3 caused that closure, depriving Pavillion of the ability to operate the business in order to service its debts. In the circumstances, I conclude that W3 is not entitled to recover and its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Pet Supplies - VSO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Counterclaim by Pet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Pet Supplies brought a counterclaim in which it alleged that W3 had breached the contract to provide hosting and support services in relation to VSO. Pet Supplies also alleged that W3 was negligent in providing services. Finally, Pet Supplies advanced a claim for $3,000 in relation to the wrongful termination of its access to the VSO toll-free number as well as additional damages for lost sales during the period in which the line was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Pet Supplies submits that it was a term of the agreement in relation to the provision of code and the operation of the shopping cart elements of VSO that they were to be those as described in the Participation Agreement as "...a sturdy back end to support Websites...as is usual for high end fully functional e-commerce websites."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Over the nine-month period before VSO was moved to Australia in May of 2008, the site was down for 166 hours; normal expected downtime would be approximately two hours per year. Pet Supplies asserts that the software and code provided to it was substandard, incapable of operating properly, and negligently written. In the result, Pet Supplies asserts it suffered loss and damage. Again, it is difficult to calculate the level of sales and profit that would have been made had the site operated to normal standards. Steven testified that the downtime was 2.6% of the full operational period and that VSO's profits were $40,000 per month. Therefore, the lost operational time equated to $1,000 per month of profit over a ten-month period, and so amounted to approximately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Ms. Wong did instruct Mr. North to suspend the toll-free number in relation to the VSO site. This was done in an effort to put economic pressure on the Perissinottos in the CVT dispute. I award Pet Supplies $3,000 CAD in relation to the replacement toll-free number. However, I am not satisfied that Pet Supplies has demonstrated that it lost sales as a result and decline to make any award for lost profit in relation to the toll-free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With respect to the claim for lost profits due to excessive downtime, it is clear that during the period that VSO was hosted at W3, the site experienced downtime that far exceeded what would normally be expected in the industry. I accept that Pet Supplies lost profits as a direct consequence of this downtime.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However, I am not able to reach any conclusion about the cause of the downtime. Pet Supplies submits that it was the result of defects in the code. W3 asserts that the cause was external attacks. I cannot conclude, on the evidence before me, whether it was either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xml:space="preserve">  Pet Supplies submits that even if the cause was external attacks, W3 should have supplied a site robust enough to resist such attacks without suffering the downtime experienced in this case. Again, on the basis of the evidence before me, I am not able to conclude what would be reasonably expected in terms of robustness in the circumstances. Accordingly, Pet Supplies has not discharged its burden of proof in establishing either a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W3 in relation to the provision of defective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W3's Claims re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W3 issued 22 invoices between June 29, 2007 and June 30, 2011 with respect to VSO. The amount claimed for these invoices totalled $538,816.81. The claim that was advanced at the outset of the trial was summarized in the following table: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Vetshoponline Outstanding Invoices:</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 July 2007 to June 30, 2011</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5" type="#_x0000_t75" style="width:335.3pt;height:586.58pt">
            <v:imagedata r:id="rId103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In the course of Ms. Wong's evidence-in-chief, certain invoices were abandoned, namely invoices 3, 4, 12, 21 and 22. The description of services in invoices 3 and 4 was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6" type="#_x0000_t75" style="width:325.5pt;height:240pt">
            <v:imagedata r:id="rId1035" o:title=""/>
          </v:shape>
        </w:pict>
      </w:r>
      <w:r>
        <w:rPr>
          <w:rFonts w:ascii="arial" w:eastAsia="arial" w:hAnsi="arial" w:cs="arial"/>
          <w:sz w:val="20"/>
          <w:lang w:val="en-US" w:eastAsia="en-US" w:bidi="ar-SA"/>
        </w:rPr>
        <w:t xml:space="preserve">  </w:t>
      </w:r>
      <w:r>
        <w:pict>
          <v:shape id="_x0000_i1247" type="#_x0000_t75" style="width:325.5pt;height:296.25pt">
            <v:imagedata r:id="rId1036"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These were the invoices that Ms. Wong stated she had created at Steven's request for use in the Pivotal litigation. Steven denied making any such request. They pertain to the matters covered by invoices 1 and 2, which had been paid in full in 2007. Ms. Wong then stated that she rendered the invoices out of anger. She admitted that there was no agreement to pay the ERP Licence Fee. She stated that she used the invoices to encourage payment for other outstanding invoices. Even accepting Ms. Wong's evidence, it is clear that these invoices were not for legitimate charges. Nevertheless, W3 sought to claim the amounts set out in these invoices in its counterclaim, with those claims only being abandoned during Ms. Wong's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Ms. Wong testified that invoice 12 refers to off-hours work requested by Mr. Kumar's call centre facility in Barbados. There is some evidence that Barbados was referred to by W3 as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The description of services for invoices 21 and 22 is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8" type="#_x0000_t75" style="width:333.75pt;height:270.75pt">
            <v:imagedata r:id="rId1037" o:title=""/>
          </v:shape>
        </w:pict>
      </w:r>
      <w:r>
        <w:rPr>
          <w:rFonts w:ascii="arial" w:eastAsia="arial" w:hAnsi="arial" w:cs="arial"/>
          <w:sz w:val="20"/>
          <w:lang w:val="en-US" w:eastAsia="en-US" w:bidi="ar-SA"/>
        </w:rPr>
        <w:t xml:space="preserve">  </w:t>
      </w:r>
      <w:r>
        <w:pict>
          <v:shape id="_x0000_i1249" type="#_x0000_t75" style="width:356.25pt;height:343.5pt">
            <v:imagedata r:id="rId1038" o:title=""/>
          </v:shape>
        </w:pict>
      </w:r>
      <w:r>
        <w:pict>
          <v:shape id="_x0000_i1250" type="#_x0000_t75" style="width:356.25pt;height:330.75pt">
            <v:imagedata r:id="rId1039"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These invoices are dated in 2011 and relate to periods during which invoices for significant technical support and other charges were already issued. Ms. Wong described them as relating to matters that she had forgotten to bill, and to capture her estimated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The claims with respect to other invoices were reduced during Ms. Wong's testimony. These reductions pertained to invoices 5, 10, 13, 15, 16, and 17, and reflect reductions in the hourly rates of $290, $435, and $362.50 to the agreed upon discounted hourly rate of $145.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In the result, the total claim advanced in closing submissions was for $112,914.88.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Pet Supplies submitted that it is not indebted to W3 in respect of the invoices, notwithstanding the reduction in the amount claimed. Pet Supplies submits that it was a term of the agreement between the parties that it was to be provided with a "sturdy back end". It submits that the code provided was unfit for the purpose of reliable operations, noting the significant downtime suffered by VSO.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Pet Supplies notes that, despite repeated requests, no supporting documentation in the form of time or task records was provided in support of the invoices. Pet Supplies submits that it made no requests for work of the magnitude claimed, nor did it provide any authorizations for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In addition, Pet Supplies submits that, in the absence of supporting documentation, there can be no assurance that the work claimed in relation to VSO was not related to work done on CVD or CVT, given that the sites frequently were going down together. There is no way to ensure that the hours claimed are not excessive due to W3 charging to fix work done incorrectly in the first place. Pet Supplies notes as well that the charges for technical support appeared to overlap with those for web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With respect to invoice 15, relating to work purportedly done during December 2008 in which there is a claim for 48 hours of emergency support, and 120 hours' support over the course of five days, it was Steven's testimony that work of that magnitude was neither requested nor authorized. He noted that the turnover for VSO was roughly $300,000 to $400,000 per year and if asked for instructions, he would have ordered the website shut down rather than run it at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Regarding the recalculated telephone disbursement invoices, namely invoice 18 for $20.00 and invoice 20 for $8,028.39, Pet Supplies asserts it has no indebtedness to W3 for the amounts claimed, and asserts W3 has failed to produce any supporting records, detailed or otherwise. Steven testified that based on the fees charged in invoice 20, assuming a rate of $0.04 per minute, the invoice alleges that VSO call centre staff was working for approximately 13.3 hours per day during the relevant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Pet Supplies also asserts it has no liability to W3 for the amounts claimed in respect of the recalculated VSO hosting and bandwidth invoice, invoice 19 for $7,444.24, for three reasons. First, Pet Supplies submits that the web server hosting of the VSO backend from May 1 to 15, 2008 appears to apply an incorrect discount of 20.5%, rather than the agreed upon 25% discount. This error has been carried through to the new recalculation. Second, Pet Supplies submits that it appears as though VSO was placed on a $500.00 bandwidth plan, which apparently ended up costing VSO more than the original $975.00 hosting fee, which provided unlimited bandwidth. Steven testified that this was not the arrangement Pet Supplies had with Ms. Wong, as Pet Supplies wanted a cheaper option for continued backend hosting of VSO during the transition to Australia so staff could access the backend for information. Third, the invoice asserts that the bandwidth usage is measured in gigabytes. Steven testified that staff in Australia was only viewing the VSO backend for numbers, and that this type of information could not have consumed the amount of bandwidth claimed by W3 in this invoice. Pet Supplies submits that without proper documentary support for the charges asserted in invoice 19, it is impossible to accurately determine what services are actually being invoiced or if the bandwidth usage only relates to VSO.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The Wongs testified that the services were rendered as set out in the invoices and that the services related only to VSO, and not to either CVT or CVD. It was their testimony that backup had been provided to Steven and that the invoices were prepared from a ticketing system that kept track of hours and services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The invoices were not supported by records identifying the nature of the work done, the time spent on particular tasks or who did the work. One document was entered that was described as a printout from the ticketing system. It contained references to three of the invoices; however, it contains no time records beyond reference to particular days. In addition, the sorts of services described with respect to invoices 5 and 10, which are technical support invoices, appear to overlap with those for invoice 7, which was for web design, suggesting that there could well be overlap.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Mr. North testified that he never recorded his time at W3 and that no one had ever requested that he provide a record of his time for work done in connection with these projects. The ticketing system described by Mr. Wong was never put to him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As noted, the Wongs testified that the charges were appropriate, that the work was done and that there was no overlap; however, I found their testimony not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With respect to the issue of authorization, Ms. Wong testified that Steven told her to keep the website open at whatever cost, unless it was "zillions" of dollars. I do not believe that Mr. Perissinotto made any such statement. Such a statement would be completely at odds with both the magnitude of the business and the approach that Steven took to its management, as evidenced, for example, by his concern over the monitoring of the pay per click advertising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Marcellus Wong testified that Mr. Tok authorized support expenditures so long as they did not exceed the $100,000 to $200,000 estimate that he says they discussed for the re-design of the site. I do not believe that there was any such conversation. However, even if there had been such a conversation, there is no evidence that Mr. Tok had the authority, ostensibly or actually, to give such an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While they were eventually withdrawn, hanging over the whole issue is the fact that Ms. Wong was prepared to issue, and advance up to mid-trial, invoices which she knew were not legitimate and hourly rates that she knew were not consistent with the rates to which the parties had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I heard a great deal of evidence from the parties about the downtime experienced by the sites, together with their thoughts about its cause or causes. Mr. North testified that it is typical in the industry to have performance expectations as part of a hosting/service contract. In his experience, he would expect downtime on the order of one to two hours per year. In that light, the VSO downtime of 166 hours was significantly higher than it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However, as mentioned, no expert evidence was led on the issue. It seems to me that there is a possibility that there were external attacks and also difficulties with the code. I am not in a position to determine either the cause of the downtime or who bears responsibility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In the end, I have no doubt that W3 performed services for which it was entitled to charge in relation to VSO. However, given that the charges have been questioned by Pet Supplies, it is for W3 to establish its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Pet Supplies has questioned invoices number 18 and 20 with respect to telephone disbursements. However, Pet Supplies paid all but $20 with respect to invoice 18. The telephone charges reflected in invoice 18 averaged $694 per month for five months. The charges per month for invoice 20 averaged $669 per month, in the same range that was considered appropriate to pay in 2008 before the relations soured. I conclude that W3 is entitled to recover $20 with respect to invoice 18 and $8,028.39 with respect to invoice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I conclude that W3 has not discharged its burden of proof with respect to the rest of the disputed invoices. While, as stated, I have no doubt it provided some services for which it should be paid, it would be pure speculation to make any sort of estimate with respect to which services were appropriate, authorized, and performed in relation to VSO.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W3 is entitled to judgment in the amount of $8,048.39 with respect to the VSO invoices. The invoices were directed to Steven and Mark Perissinotto. The draft Participation Agreement makes reference to the stakeholder's website, but does not identify the stakeholder. There is no written agreement pertaining to this arrangement. I agree with the submission of W3 that it is incumbent on the party who wishes to contract using a corporation to bring this to the attention of the other party. The Perissinottos did not specify this in this case and accordingly, the judgment will be against Steven and Mark Perissinotto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In the result, I have made the following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065"/>
        <w:gridCol w:w="1673"/>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20"/>
                <w:u w:val="single"/>
                <w:lang w:val="en-US" w:eastAsia="en-US" w:bidi="ar-SA"/>
              </w:rPr>
              <w:t>AWI</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Accounting to April 2009</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$251,809.79</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Wrongful retention of customer list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$20,000.00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Lost Profits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$236,666.00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Breach of Copyright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$20,000.00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20"/>
                <w:u w:val="single"/>
                <w:lang w:val="en-US" w:eastAsia="en-US" w:bidi="ar-SA"/>
              </w:rPr>
              <w:t>Pavillion</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Wrongful retention of customer list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$10,000.00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Damages for lost opportunity to make a profit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$10,000.00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20"/>
                <w:u w:val="single"/>
                <w:lang w:val="en-US" w:eastAsia="en-US" w:bidi="ar-SA"/>
              </w:rPr>
              <w:t>Pet Supplies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Replacement of toll-free number</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$3,000.00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20"/>
                <w:u w:val="single"/>
                <w:lang w:val="en-US" w:eastAsia="en-US" w:bidi="ar-SA"/>
              </w:rPr>
              <w:t>W3</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for amounts owing on invoices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20"/>
                <w:lang w:val="en-US" w:eastAsia="en-US" w:bidi="ar-SA"/>
              </w:rPr>
              <w:t>$8,048.38</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20"/>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xml:space="preserve">  The figures provided by counsel, and generally throughout this judgment, have been in USD. Given that USD was the currency of their choice, I find that it is this currency that will most truly and exactly compensate AWI for the breaches of contract, less the nominal damages for the retention of the customer list, and W3 for its invoice claim. Therefore, I order that the damages payable to AWI and W3 pursuant to this judgment that have been expressed above in USD will be the amount of Canadian currency necessary to purchase the prescribed amounts of USD at the close of business on the conversion date as required by the </w:t>
      </w:r>
      <w:r>
        <w:rPr>
          <w:rFonts w:ascii="arial" w:eastAsia="arial" w:hAnsi="arial" w:cs="arial"/>
          <w:i/>
          <w:color w:val="000000"/>
          <w:sz w:val="20"/>
          <w:lang w:val="en-US" w:eastAsia="en-US" w:bidi="ar-SA"/>
        </w:rPr>
        <w:t>Foreign Money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FMCA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xml:space="preserve">  Prejudgment interest is to be paid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from May 2009 to the date of this judgment on the amount owing to AWI for W3's breaches of the Profit Sharing Agreement relating to accounting during the duration of that agreement, which I have found is $251,809.79 USD. That interest shall be calculated based on the Canadian dollar value of those damages assessed on the conversion date prescribed by the </w:t>
      </w:r>
      <w:r>
        <w:rPr>
          <w:rFonts w:ascii="arial" w:eastAsia="arial" w:hAnsi="arial" w:cs="arial"/>
          <w:i/>
          <w:color w:val="000000"/>
          <w:sz w:val="20"/>
          <w:lang w:val="en-US" w:eastAsia="en-US" w:bidi="ar-SA"/>
        </w:rPr>
        <w:t>FMCA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The parties are at liberty to make submissions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Profit Sharing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Animal Welfare International, Inc a company incorporated in the British Virgin Islands of c/- PO Box 5007, SCMC 4560 Australia (VetShop)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W3 International Media Ltd a company incorporated in Canada at #600-535 Thurlow Street, Vancouver B.C. Canada V6E 3L2(W3)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VetShop is in the business of online retailing of animal health products.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W3 is in the business of providing a complete range of professional internet services including custom web design, application development, and website promotion.</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VetShop wishes to establish and promote a new website, </w:t>
      </w:r>
      <w:r>
        <w:rPr>
          <w:rFonts w:ascii="arial" w:eastAsia="arial" w:hAnsi="arial" w:cs="arial"/>
          <w:color w:val="000000"/>
          <w:sz w:val="20"/>
          <w:u w:val="single"/>
          <w:lang w:val="en-US" w:eastAsia="en-US" w:bidi="ar-SA"/>
        </w:rPr>
        <w:t>www.CanadaVet.com</w:t>
      </w:r>
      <w:r>
        <w:rPr>
          <w:rFonts w:ascii="arial" w:eastAsia="arial" w:hAnsi="arial" w:cs="arial"/>
          <w:color w:val="000000"/>
          <w:sz w:val="20"/>
          <w:lang w:val="en-US" w:eastAsia="en-US" w:bidi="ar-SA"/>
        </w:rPr>
        <w:t xml:space="preserve"> (CanadaVet).</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W3 has agreed to provide certain services to VetShop to assist with the development, operation and promotion of CanadaVet.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VetShop and W3 have agreed to share the profits generated by CanadaVet as set out in this document.</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W3 and VetShop have agreed to sign this document to record the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Responsibilities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Responsibilities of VetShop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VetShop will be responsible for the following (at its own cost except as provided):</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of best products to sell (profitable, minimize chance of litigation, easily shipped, high value, not easily.damaged in transit, comply with air transportation laws); pricing, price changes, product changes; product descriptions and recommendations: product graphics.</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Procurement of product - best terms/prices, number of sources/purchasing interstate to ensure continuity of supply, packaging materials (cost of product is an Expense as set out below and is to be reimbursed at wholesale cost).</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Warehousing of product - receiving, stock rotation, manage expiry dates, price protection, ensure continuity of supply, packaging materials.</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Packaging of orders - downloading of orders, appropriate packaging, comply with relevant postal &amp; customs requirements, inserting of promotional materials, appropriately trained staff (Cost of packaging and postage/shipping of orders is an Expense as set out below).</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Posting/Shipping of goods -- arrange dispatching of orders, most appropriate/cost effective methods (Cost of packaging and postage/shipping of orders is an Expense as set out below).</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management -- marking orders as shipped, dealing with returns, non deliveries, unavailable product</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Customer service -- via emails (before call centre established), answering queries re ordering, problems, complaints, products etc, appropriately trained staff, develop policies on dealing with such.</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Veterinary advice -- articles, email queries, legitimacy to site, training staff</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Support to W3 media for marketing, promotions etc</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Funding of agreed start up costs (Start up costs are an Expense as set out below and are subject to reimbursement before profit share)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Responsibilities of V3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W3 will be responsible for the following (at its own cost, except as provided):</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license fee for the W3's proprietary ERP Software</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design work + customization of the application for the website: CanadaVet.com</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design work, customisation and updates in text and code for the website: Canadavet.com.</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Monthly license for W3's proprietary ERF software</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a client base for Canadavet by employing W3's marketing expertise. Maximize sales &amp; traffic to the website Canadavet.comwhile minimizing costs. Ongoing marketing support including website optimisation and promotion including paid search engine services, and other agreed upon marketing campaigns (Costs charged by third parties, and search engines are expenses)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of Two Load-Balanced Servers, with 100 Mbps Connection, Backup Services, Management Service, Rack Space, Shared Database, Firewall, &amp; Load Balancing. (This is an Expense as set out below and subject to reimbursement of agreed amount of $920 CAD/mo+gst or USD $836, and monthly bandwidth charges at cost)</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Managing domain name and email addresses/ mailboxes</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Setup and maintain e-commerce, merchant credit card accounts, provision online processing for the website: Canadavet.com (Setup costs and monthly costs are expenses)</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Setup and maintain a US$ Bank account exclusively for use for depositing all funds processed on Canadavet.com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Shared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will make decisions regarding the operation and promotion of CanadaVet jointly (after taking in to account the recommendations of the party that has responsibility for and experienced in the matter). This will include:</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"look and feel" of the CanadaVet website;</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CanadaVet will be marketed and promoted;</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 range and pricing;</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if any, customers will pay on account of postage, packaging and insurance;</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additional services and/or information will be provided on the CanadaVet website;</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a call centre will be established and if so, how it will be operated and how costs will be allocated.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Share of Profits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How Profit is Shared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Profits of CanadaVet will be shared 50% to W3 and 50% to VetShop for the term of this agreement as set out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How Profit is Calculated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the profit share:</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"Profits" will be calculated by deducting from the "Revenue" received from the sale of products on CanadaVet the "Expenses" of CanadaVet.</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"Revenue" is the actual amount received from customers from the sale of products through the CanadaVet website (and, if a call centre is established, through the call centre to CanadaVet customers). Revenue includes any amount received on account of postage and handling and insurance.</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"Expenses" arc:</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agreed start up costs;</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wholesale cost of the products;</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postage/shipping, packaging and insurance of orders;</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advertising and promotion of CanadaVet (for example, Google and other pay per click advertising, payment of commissions and affiliate fees etc);</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any giveaways, discounts or other promotions;</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marketing material including flyers, catalogues, magnets etc.</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 and payment processor fees and charges (including set up fees, merchant fees, account charges and taxes and chargebacks);</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Website hosting and server fees or charges;</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sales tax, goods and services tax or value added tax or similar tax;</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Stock returned by customers damaged or otherwise unsaleable;</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Refunds given to customers for lost or damaged orders;</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Credits or discounts given to customers;</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cost or expense of CanadaVet not being internal costs (salaries, licensing fees etc) of W3 or VetShop;</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cost or expense the parties agree are Expenses.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Expenses docs not include the costs associated with the items listed in clause 1.1 or 1.2 above except to the extent the parties have expressly agreed that such costs will be reimbursed and treated as Expenses. For the purposes of calculating the Profit share under clause 7.3, Expenses will include amounts paid to a service provider after termination of this agreement, to provide services similar to those which were by W3 prior to the 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Incurring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party can incur an Expense without the prior approval of both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party incurs an approved Expense, it will be reimbursed before Profit is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separate bank account will be opened and all revenue from the sale of products through CanadaVet will be deposited in to that account.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Monday of each week (or such other day as the parties agree), a reconciliation will be made, and the amount in the account distributed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in payment/reimbursement of any Expenses</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Then, any Profit will be paid 50% to W3 and 50% to VetShop.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Both parties will have access to the bank account. Neither party will make a deduction from the bank account except in accordance with this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money in the bank account will be held on trust for both parties in accordance with this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 Ending Arrangements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Either party may end the arrangements contained in this document by written notice to the other if:</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party fails to comply with this agreement (after receiving written notice to comply and such failure has not been rectified within 7 days); or</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considers that the arrangements are no longer profitable or CanadaVet is otherwise operating at a loss;</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have reached a deadlock on an operational or marketing issue which cannot be resolved and is materially adversely effecting the operation or profitability of CanadaVet; or</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party does not want the arrangements to continue for any other reason, (but in such case, not before that date 36 months after the date of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the end of this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reconciliation will be done up to the date of termination, all Expenses paid or reimbursed and the Profit up to that date will be distributed (to the extent that this has not already occurred) as set out in this agreement;</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other arrangements have been made, W3 will deliver to VetShop all customer lists and customer records and any other information reasonably required by VetShop and do anything reasonably necessary (such as delegating domain names, and providing access codes) to allow VetShop to continue to operate the business;</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will co-operate for the orderly take over by VetShop or someone else on VetShop's behalf of the responsibilities of V3 under this document; and</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other arrangements have been made, W3 will have no further obligations to provide any services.</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set out in clause 4.3 (under which W3 will be entitled to a trailing payment for existing customers at the date of termination), unless other arrangements have been made relating to the provision of services by W3, VetShop will have no further obligation to make any payment to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VetShop terminates this agreement under clause 4.1 (except where such termination has occurred because of some default of W3), W3 will be entitled to payments calculated with reference to the Profit received from existing customers of CanadaVet for sales made in the 24 months following termination. An "existing customer" for this clause is one who has made one or more purchases from CanadaVet prior to the date of termination). Such profit share will be calculated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 of Profit made on sales to such customers in months l to 3 following the date of termination;</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45% of Profit made on sales to such customers in months 4 to 6 following the date of termination;</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40% of Profit made on sales to such customers in months 7 to 9 following the date of termination;</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 of Profit made on sales to such customers in months 10 to 12 following the date of termination;</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30 % of Profit made on sales to such customers in months 13 to 15 following the date of termination;</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25 % of Profit made on sales to such customers in months 16 to 18 following the date of termination;</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20 % of Profit made on sales to such customers in months 19 to 21 following the date of termination;</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15 % of Profit made on sales to such customers in months 22 to 24 following the date of termination ;</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NIL % of Profit made on sales to such customers after month 24 and Profit made from customers who had not made purchases from Canadavet prior to the date of termination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Profit Share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W3 and VetShop acknowledge and agree that they are separate and unrelated parties, and that the arrangements do not represent a partnership or any other arrangement other than the payment for services provided by W3 to VetShop calculated with reference to a profit share. Neither party has any right to or claim over the other party's business or assets and is not liable for any debt, tax or expense of the other party. In particular, nothing in the arrangement gives W3 any right or interest in the CanadaVet goodwill, domain name or website, customer lists or intellectual property or any other goodwill, domain name or website, customer lists or intellectual property owned by VetShop. Nor does it give VetShop any right or interest in any goodwill, domain name or website, customer lists or intellectual property owned by W3.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No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may agree to jointly promote other websites or businesses owned by one or both of them or their affiliates, however any such arrangement will be subject to separate agreement. W3 will not contact any customer of VetShop or CanadaVet, use any customer list of VetShop or CanadaVet or promote any other business to customers of VetShop without the consent of VetShop.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Confidentiality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will keep these arrangements confidential. Vetshop may not contact W3's affliliates, and parties that W3 brought into the collaboration. Further, technology, and market knowledge brought into the collaboration by either party are considered proprietary knowledge and are not to be shared by parties outside the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Legal Jurisdiction</w:t>
      </w:r>
      <w:r>
        <w:rPr>
          <w:rFonts w:ascii="arial" w:eastAsia="arial" w:hAnsi="arial" w:cs="arial"/>
          <w:sz w:val="20"/>
          <w:lang w:val="en-US" w:eastAsia="en-US" w:bidi="ar-SA"/>
        </w:rPr>
        <w:cr/>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and application or interpretation of it shall be governed exclusively by the laws of British Columbia, Canada.</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British Columbia, Canada shall have exclusive jurisdiction over this agreement and each party attorns to the jurisdiction of British Columbia.</w:t>
      </w:r>
    </w:p>
    <w:p>
      <w:pPr>
        <w:spacing w:before="120" w:line="260" w:lineRule="atLeast"/>
        <w:rPr>
          <w:rFonts w:ascii="arial" w:eastAsia="arial" w:hAnsi="arial" w:cs="arial"/>
          <w:sz w:val="20"/>
          <w:lang w:val="en-US" w:eastAsia="en-US" w:bidi="ar-SA"/>
        </w:rPr>
      </w:pPr>
      <w:r>
        <w:pict>
          <v:shape id="_x0000_i1251" type="#_x0000_t75" style="width:324pt;height:110.25pt">
            <v:imagedata r:id="rId1040"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1"/>
          <w:headerReference w:type="default" r:id="rId1042"/>
          <w:footerReference w:type="even" r:id="rId1043"/>
          <w:footerReference w:type="default" r:id="rId1044"/>
          <w:headerReference w:type="first" r:id="rId1045"/>
          <w:footerReference w:type="first" r:id="rId10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7" w:history="1">
        <w:r>
          <w:rPr>
            <w:rFonts w:ascii="arial" w:eastAsia="arial" w:hAnsi="arial" w:cs="arial"/>
            <w:b/>
            <w:bCs/>
            <w:i/>
            <w:color w:val="0077CC"/>
            <w:kern w:val="32"/>
            <w:sz w:val="28"/>
            <w:szCs w:val="32"/>
            <w:u w:val="single"/>
            <w:shd w:val="clear" w:color="auto" w:fill="FFFFFF"/>
            <w:lang w:val="en-US" w:eastAsia="en-US" w:bidi="ar-SA"/>
          </w:rPr>
          <w:t>445001 B.C. Ltd. v. Derby Reach Holdings Ltd., [2001] B.C.J. No. 2290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Humphries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 and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S044140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M.P.L.R. (3d) 122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234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445001 B.C. Ltd., plaintiff, and Derby Reach Holdings Ltd., defendant, and 445001 B.C. Ltd., defendant by counterclaim, and The Corporation of the Township of Langley, Barton Insurance Brokers Ltd., Fort Langley Drugs Ltd., the Owners, Strata Plan No. LMS1158, Peter Paul Haladin, Jean Debad, Bob Britton, Eric Schneider, Karen Nicol,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45"/>
      <w:bookmarkEnd w:id="292"/>
      <w:r>
        <w:rPr>
          <w:rFonts w:ascii="arial" w:eastAsia="arial" w:hAnsi="arial" w:cs="arial"/>
          <w:b/>
          <w:color w:val="000000"/>
          <w:sz w:val="20"/>
          <w:lang w:val="en-US" w:eastAsia="en-US" w:bidi="ar-SA"/>
        </w:rPr>
        <w:t xml:space="preserve">Municipal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Negligent advice or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3" w:name="Case Summary_42"/>
            <w:bookmarkEnd w:id="2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Township of Langley to strike the third party notice filed against it. The company, 445001 B.C. Ltd., made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claim for contribution and indemnity in relation to the counterclaim against it. Township staff told the company that the common ownership covenant would not be removed until municipal services were installed. Derby Reach Holdings applied to amend its development permit to reduce the scope of the covenant so that it no longer applied to the company's lot. The Township staff prepared a report that was favourable to reducing the scope of the covenant, notwithstanding that the sewer had not been installed. Derby never delivered the notice of the meeting. The application was approved. Derby demanded the balance due by the company. The company sought judicial review and the Township decided to reconsider the matter. The Township told Derby that a reconsideration would not be successful. Derby treated the application for judicial review as a repudiation and refused to sell the property to the company. The reconsideration did not take place for two years. The company claimed that the Township was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4" w:name="Holdings of Court_34"/>
            <w:bookmarkEnd w:id="29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party claim was struck out except the portion dealing with the claim for contribution and indemnity.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bound to fail. Assuming a duty existed on the Township, the duty and the foreseeable consequences of its breach had no relation to Derby's subsequent actions that caused damage to the company. Derby's actions were not foreseeable and were not caused by the Township's actions.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Legislation Cited_22"/>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6" w:name="Counsel_46"/>
      <w:bookmarkEnd w:id="2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Kravchuke, for the plaintiff. R.J. Berrow and M.T. Ghikas, for the third party, the Corporation of the Township of Langley.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7" w:name="Judgment_46"/>
      <w:bookmarkEnd w:id="297"/>
      <w:r>
        <w:pict>
          <v:line id="_x0000_s1256" style="position:absolute;z-index:251858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8" w:name="HUMPHRIES J."/>
            <w:bookmarkEnd w:id="298"/>
            <w:r>
              <w:rPr>
                <w:rFonts w:ascii="arial" w:eastAsia="arial" w:hAnsi="arial" w:cs="arial"/>
                <w:b/>
                <w:color w:val="000000"/>
                <w:sz w:val="30"/>
                <w:lang w:val="en-US" w:eastAsia="en-US" w:bidi="ar-SA"/>
              </w:rPr>
              <w:t>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Township of Langley ("the Township") renews its application to strike the Third Party Notice ("the TPN") filed against it by 445001 B.C. Ltd. ("445001") pursuant to Supreme Court Rule 19(24). This matter came on before me on February 23, 2001. At that time, I struck out one independent portion of the TPN and allowed 445001 to amend, which they have now done. The Township argues that the amendments do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rather lengthy facts are set out in my previous reasons at </w:t>
      </w:r>
      <w:hyperlink r:id="rId1048" w:history="1">
        <w:r>
          <w:rPr>
            <w:rFonts w:ascii="arial" w:eastAsia="arial" w:hAnsi="arial" w:cs="arial"/>
            <w:i/>
            <w:color w:val="0077CC"/>
            <w:sz w:val="20"/>
            <w:u w:val="single"/>
            <w:shd w:val="clear" w:color="auto" w:fill="FFFFFF"/>
            <w:lang w:val="en-US" w:eastAsia="en-US" w:bidi="ar-SA"/>
          </w:rPr>
          <w:t>2001 BCSC 334</w:t>
        </w:r>
      </w:hyperlink>
      <w:r>
        <w:rPr>
          <w:rFonts w:ascii="arial" w:eastAsia="arial" w:hAnsi="arial" w:cs="arial"/>
          <w:color w:val="000000"/>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[2001] B.C.J. No. 403</w:t>
        </w:r>
      </w:hyperlink>
      <w:r>
        <w:rPr>
          <w:rFonts w:ascii="arial" w:eastAsia="arial" w:hAnsi="arial" w:cs="arial"/>
          <w:color w:val="000000"/>
          <w:sz w:val="20"/>
          <w:lang w:val="en-US" w:eastAsia="en-US" w:bidi="ar-SA"/>
        </w:rPr>
        <w:t>. At that time, the TPN made claims against the Township for what purported to be legislative or quasi-judicial acts. The amended TPN restates the causes of action but purports to base them upon operational acts of Township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TPN is lengthy. It contains two main types of claims against the Township - one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one for contribution and indemnity for claims that Derby Reach Holdings Ltd. ("DRH") makes against 445001 in its counterclaim. 445001 says, inter alia, that the Township staff was negligent in the preparation of a report to Langley Council ("Council") in March of 1995 which recommended the reduction of the scope of a Common Ownership Covenant ("the COV") that Council had previously put on the subject lands; in failing to ensure the tenants received proper notice of the Council meeting where the application leading up to the report was to be discussed; in failing to schedule a reconsideration of the application as soon as convenient; and in advising DRH that its application had no possibility of succeeding on such a reconsideration by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argument, counsel for 445001 also referred to a possible cause of action in negligent misrepresentation. It is alleged in the TPN that the Township told 445001 that the COV would not be removed until the condominium development was hooked up to the municipal sewer service. It is also alleged that the Township told DRH that reconsideration of their application to remove the COV would not be successful. The TPN contains no allegations of duty of care, causation, or reasonable reliance by 445001 on these statements, nor does it claim that the statement regarding the reconsideration was wrong. 445001 maintains, however, that the basic facts necessary to support a claim in negligent misrepresentation are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would summarise the essence of 445001's claim against the Township as follows: in 1993, prior to entering into long-term leases which contained obligations to purchase their leased strata lots from DRH if and when the COV was removed, 445001 and the other lessees made inquiries of Township staff and were expressly told that the COV would not be removed until municipal sewer service was installed. Thus, according to 445001, those lessees became members of a foreseeable small class relying on the staff. In early 1995, DRH applied to amend their Development Permit to reduce the scope of the COV so that it no longer applied to, inter alia, 445001's lot. Township staff prepared a report which was favourable to the application, notwithstanding that the sewer had not been installed and notwithstanding their earlier advice to 445001. 445001 says Township staff must have foreseen that, if DRH's application were successful, 445001's access to a working septic system would be reduced, and 445001 would react in some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Notice of the meeting was addressed to 445001 and the other lessees but was sent care of DRH, who never delivered it to the lessees. According to 445001, since the interest of the lessors was known to Township staff, staff should have ensured they received notice of the meeting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27, 1995, Council approved DRH's application. DRH demanded the balance due under the lease/sale agreement on the basis that the COV has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445001 immediately initiated a judicial review based on the lack of notice, which resulted in the Township deciding to reconsider the matter as soon as convenient. DRH chose to treat the application for judicial review by 445001 as a repudiation by 445001 of their contract with DRH, and have refused to sell 445001 the leased property, notwithstanding that sewer connections have now been completed. 445001 conceded in argument that no one could have foreseen this specific and unusual reaction on DRH's part, but it was foreseeable that 445001 would have objected to the lack of notice and that some consequence would flow. Then, by telling DRH that a reconsideration would not be successful, thereby causing DRH to withdraw its application, and by failing to reschedule a reconsideration for two years, Township staff exacerbated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Thus, 445001 alleges that as a result of a series of negligent actions on the part of Township staff, it has been prevented from buying its condominium, and that it is entitled to contribution and indemnity for losses DRH seeks to recover from 445001.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maintaining in argument that it does not allege bad faith on the part of Township staff, 445001 takes the position that it should not be required to be more factually specific until discoveries have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Township seeks to strike out the TPN on the basis that it discloses no viable cause of action, or is frivolous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Much of the argument before me centered on whether the acts of Township staff give rise to a private cause of action at the instance of 445001. Both sides presented extensive argument on the characterisation of the acts of Township staff including what duties, if any, were owed to 445001 in these circumstances and the extent to which the immunity attaching to legislative or quasi-judicial acts should also cover ancillary/anterior actions of the staff. Argument was also presented on the recoverability of pure economic loss and issues of foreseeability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Though, in my view, the possibility of establishing that Township staff owed a duty of care to 445001 in these circumstances is remote, I will assume that the potential for some privately enforceable duty of care exists simply to put the case in the most favourable light for 445001.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445001's case turns on not getting notice of, and therefore not attending, the Council meeting at which DRH's application to reduce the effect of the COV was discussed. There is nothing else which could give rise to any remedy. It is not alleged that the initial statements made by staff were made in bad faith, nor that they were wrong at the time. Subsequent to those statements, the reconsideration of the COV came before Council as a result of DRH's application. It is not alleged that the report prepared by staff was done in bad faith, just that it was negligently prepared and in breach of their duty to 445001.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Even if the recommendations contained in the report were wrong, the place to deal with it would have been at the Council meeting. It would have been dealt with if 445001 had received notice. Township staff sent out notices of the meeting. 445001 did not receive notice because of the actions of DRH, and, upon learning about the meeting, sought the only available remedy - judicial review. Council immediately announced that they would reconsider the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ensuing act that has caused 445001 damage - that DRH chose to treat the application for judicial review as a repudiation of the contract by 445001- admittedly could not have been foreseen. I accept the summary of the claim as set out in the Township's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 is really premised on the proposition that the Township owed 445001 a duty to anticipate an indirect and obscure legal consequence arising between 445001 and its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noting that no duty or causation is pleaded with respect to the failure to give notice of the meeting, the Township submits: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445001's contention must be that, had it voiced opposition at the hearing rather than after the fact through an application for judicial review, its conduct could not have constituted a repudiation of the lease. That contention is not pleaded but it is clearly the only possible basis for the lack of notice to have caused harm to 445001. It is submitted that this contention, if it were pleaded, would have no reasonable prospect of success. If 445001's judicial review application to overturn the change constituted a repudiation of the lease, then opposing the change in the first place would have had the same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cannot have been reasonably foreseeable to Langley that if Langley did not provide advance notice of the hearing to 445001, with the result that 445001 was driven to voice its opposition to the change after the fact, 445001's conduct would then constitute a breach by 445001 of its obligations to its landlord, while voicing its opposition at the hearing would not have done. Nor could it have been reasonably foreseeable to the Township that 445001 had put itself into such an extraordinarily vulnerable position with its landlord [by not stipulating in the lease for a covenant restricting DRH's ability to apply for relief from the common ownership covenant before 445001 received a sewer connection]that any objection on its part to the alteration of the covenant would draw this reaction. Clearly 445001 itself did not foresee that its actions would amount to a repudiation of the lease. This is a risk of a completely different kind and quality from the risk that if the covenant were altered the tenants' access to the septic field would become less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accept those submissions. Even assuming a duty exists in the terms set forth by 445001, the duty and the foreseeable consequences of its breach bear no relation to the subsequent actions of DRH that caused the damage to 445001. Those actions were not foreseeable, nor were they caused by any actions of the Township. In the result,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Township is clearly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 difficulty remaining because of the claim for contribution and indemnity arising out of DRH's claim against 445001 as set out in paragraph 68G(c) and (d) of the TPN,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were any losses, damages or expenses suffered or incurred by [DRH, which is denied by 445001], then such losses, damages or expenses attributed to [445001] were caused wholly by or contributed to by the said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staff of the Township of Langley in the course of its operational functions in general and, in particular, by the staff negligently:</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schedule the reconsideration of the 1995 Application "as soon as convenient"; and</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DRH that it had no possibility of succeeding at a reconsideration of the 1995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counterclaim alleges that, by reason of 445001's "repudiation" of the lease and its "actions in frustrating the whole of [DRH's] application to have the Common Ownership Covenant removed from the [premises]", DRH has suffered damages - that is, loss of the sale of two other strata lots in the same development and the costs of servicing the mortgage. During discovery, DRH said they did not pursue their application after Council's resolution was set aside because of the advice of staff that it would be unsuccessful. It was this statement that prompted 445001 to issue the TPN. The reconsideration was not scheduled for two years. The COV was eventually removed some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Township takes the position that 445001's claim for contribution and indemnity should be struck out because it bears no relationship to the issue underlying DRH's counterclaim. The Township says that the "premise of [DRH's claim against 445001 is that 445001's application for judicial review amounted to a repudiation of the lease. That claim does not in any way turn on whether or not [DRH] maintained its amendment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 noted above, however, DRH counterclaim claims damages resulting from being "frustrated" in its removal of the COV by 445001. Two years elapsed before the Township reconsidered the 1995 resolution. In defending the counterclaim, 445001 should be afforded the opportunity to explore the role of the Township in DRH's failure to maintain its application, as well as the significance of the two year period before reconsideration took place. I cannot say at this early stage that a claim for contribution and indemnity against the Township flowing from a successful action by DRH against 445001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result, the TPN is struck out, with the exception of the claim for contribution and indemnity arising out of DRH's counterclaim as set out in paragraph 68G(c) and (d) of the TPN, those portions of paragraph 67 which relate to the claim for contribution and indemnity, and the paragraphs containing the factual basis for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to costs, success has been divided, but the Township has had more substantial success. They should have costs at Scale 3 of one day's hearing in this application against 445001.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conclusion of the application in February, I indicated that costs of that application should be to the Township in the cause if no further hearing took place. Notwithstanding that a further hearing has taken place, I am of the view that that order should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9"/>
          <w:headerReference w:type="default" r:id="rId1050"/>
          <w:footerReference w:type="even" r:id="rId1051"/>
          <w:footerReference w:type="default" r:id="rId1052"/>
          <w:headerReference w:type="first" r:id="rId1053"/>
          <w:footerReference w:type="first" r:id="rId10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5" w:history="1">
        <w:r>
          <w:rPr>
            <w:rFonts w:ascii="arial" w:eastAsia="arial" w:hAnsi="arial" w:cs="arial"/>
            <w:b/>
            <w:bCs/>
            <w:i/>
            <w:color w:val="0077CC"/>
            <w:kern w:val="32"/>
            <w:sz w:val="28"/>
            <w:szCs w:val="32"/>
            <w:u w:val="single"/>
            <w:shd w:val="clear" w:color="auto" w:fill="FFFFFF"/>
            <w:lang w:val="en-US" w:eastAsia="en-US" w:bidi="ar-SA"/>
          </w:rPr>
          <w:t>Accredit Mortgage Ltd. v. Cook Roberts LLP, [2017] B.C.J. No. 1248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 Taylor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S137260, S137922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1248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1078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Accredit Mortgage Ltd. and Great Pacific Mortgage &amp; Investments Ltd., Plaintiffs, and Cook Roberts (A Firm), Cook Roberts LLP, Patterson Adams (A Firm) and Jack A. Angus, Defendants, and District of Ucluelet, Raymond Goldsworthy Architect Ltd. and Raymond Goldsworthy, Third Parties And between Whiskey Dock Developments Ltd., 694023 Bc Ltd., Tzartus Holdings Ltd. and Wayne Bary Wenstob, Plaintiffs, and Patterson Adams (A Firm) and Jack A. Angus, Defendants, and District of Ucluelet, Raymond Goldsworthy Architect Ltd., and Raymond Goldsworthy,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8"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46"/>
      <w:bookmarkEnd w:id="299"/>
      <w:r>
        <w:rPr>
          <w:rFonts w:ascii="arial" w:eastAsia="arial" w:hAnsi="arial" w:cs="arial"/>
          <w:b/>
          <w:color w:val="000000"/>
          <w:sz w:val="20"/>
          <w:lang w:val="en-US" w:eastAsia="en-US" w:bidi="ar-SA"/>
        </w:rPr>
        <w:t xml:space="preserve">Civil litigation — Civil procedure — Discovery — Production and inspection of documents — Privileged documents — Documents prepared for the purpose of settlement — Waiver of privilege — Application by defendant Cook Roberts for order requiring third parties and plaintiff to produce un-redacted settlement agreement, including settlement amount, between themselves and Whiskey Dock dismissed — Application by defendant Patterson Adams for disclosure of expert reports filed in previous litigation dismissed — Defendants were law firms sued by their clients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Related actions by their clients had settled after filing of expert reports — Reasons for disclosure of settlement amount did not outweigh policy in favour of promoting settlement — Litigation privilege remained intact in expert reports disclosed in earlier actions.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43"/>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Cook Roberts defendants for an order requiring the third parties and the plaintiff to produce the un-redacted settlement agreement, including the settlement amount, between themselves and Whiskey Dock. Application by the Patterson Adams defendants for disclosure of expert reports exchanged in earlier actions. The settlement agreement had been produced by the plaintiffs with the settlement amounts in dollar value redacted. The plaintiffs argued the expert reports exchanged in the earlier litigation were subject to litigation privilege. The current actions involved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two law firms, Cook Roberts and Patterson Adams. The plaintiff Accredit provided financing for a commercial strata development which was to be developed and constructed by Whiskey Dock. Cook Roberts represented the plaintiff, Accredit. Patterson Adams represented Whiskey Dock. The third parties provided architectural services to Whiskey Dock in relation to the development. Whiskey Dock and Accredit commenced lawsuits against the municipality,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in respect of the building permit issued for the project, resulting in Whiskey Dock not obtaining home warranty insurance for the strata titles that were to go into a hotel but were to be sold as individual units. These actions were settled in 2013 after expert reports were exchanged. Subsequently the current actions were commenced against the law firms by their respective clients. Cook Roberts argued that without knowing how much Accredit received from the municipality under the settlement, the defendants did not know whether the plaintiffs had even suffered a loss on advancing the funds, and if so, how much their loss was. The defendants thus argued knowing how much was advanced under the settlement agreement was the essential element of their claim. The Patterson Adams argued that there could be no privilege remaining to be asserted over the expert reports since they were disclosed and served on parties then opposite in interest to one another in the earlier actions.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1" w:name="Holdings of Court_35"/>
            <w:bookmarkEnd w:id="301"/>
            <w:r>
              <w:rPr>
                <w:rFonts w:ascii="arial" w:eastAsia="arial" w:hAnsi="arial" w:cs="arial"/>
                <w:color w:val="000000"/>
                <w:sz w:val="20"/>
                <w:lang w:val="en-US" w:eastAsia="en-US" w:bidi="ar-SA"/>
              </w:rPr>
              <w:t>HELD: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have not shown that the reasons for disclosure of the settlement amount outweighed the policy in favour of promoting settlement other than for personal benefit of the defendants. The expert reports, at the very least, provided by the plaintiffs in the earlier actions were compelled by the operation of Rule 11-6 of the Supreme Court Civil Rules, and that the current actions were pending related litigation such that the litigation privilege remained intact regarding the documents sought by the Patterson Adams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2" w:name="Legislation Cited_23"/>
      <w:bookmarkEnd w:id="3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9"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7-1, Rule 11-6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3" w:name="Counsel_47"/>
      <w:bookmarkEnd w:id="3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0"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in Both Actions: J. Mendes, N. Rozenberg.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Cook Roberts (A Firm) and Cook Roberts LLP: J. Dives,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Patterson Adams (A Firm) and Jack A. Angus: P. Arvisais.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in Both Actions: J. Mendes, N. Rozenberg.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4" w:name="Judgment_47"/>
      <w:bookmarkEnd w:id="304"/>
      <w:r>
        <w:pict>
          <v:line id="_x0000_s1261"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5" w:name="MASTER G. TAYLOR"/>
            <w:bookmarkEnd w:id="305"/>
            <w:r>
              <w:rPr>
                <w:rFonts w:ascii="arial" w:eastAsia="arial" w:hAnsi="arial" w:cs="arial"/>
                <w:b/>
                <w:color w:val="000000"/>
                <w:sz w:val="30"/>
                <w:lang w:val="en-US" w:eastAsia="en-US" w:bidi="ar-SA"/>
              </w:rPr>
              <w:t>MASTER G. TAYLOR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two applications before the Court deal with settlement privilege and litigation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notice of application was brought by the Cook Roberts Defendants made up of Cook Roberts (A firm), Cook Roberts LLP, and Jack A. Angus, the defendants in the action commenced by the Accredit Mortgage Ltd. and Great Pacific Mortgage &amp; Investments Ltd. The Patterson Adams Defendants made up of Patterson Adams (A Firm), and Jack A. Angus are the defendants in registry number S137922, hereinafter referred to as the Patterson Adams Defendants or Patterson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notice of application brought by Cook Roberts, the order sought is that Accredit, Ucluelet, and Goldsworthy produce within 14 days of the pronouncement of this order the un-redacted settlement agreement between themselves and Whiskey Dock Developments Ltd., dated November 25, 2013 (the "Agreement"). As well, Cook Roberts seeks an order that Accredit, Ucluelet, and Goldsworthy amend their respective lists of documents to include the un-redacted Agreement under Part 1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notice of application brought by the Patterson Adams Defendants, both defendants seek an order that the plaintiffs and third parties, and each of them, within 14 days, file and deliver a further supplemental list of documents listing, and produce copies of, any and all documents not already listed that were exchanged between them in the underlying proceedings, namely B.C. Supreme Court action number 10-4734 (Victoria registry) and action number 085211(Victoria registry) (the "Victoria Actions"), including without restricting the generality of the foregoing, all expert reports or summaries of expert opinion, minutes of evidence, particulars of loss and damage alleged, and trail briefs exchanged between the parties in those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Both applicants seek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relation to the application by Cook Roberts, the issue is whether the disclosure of the monetary amount of the settlement Agreement entered into in the earlier proceeding is both relevant and necessary in the circumstances. The Agreement has been produced by the plaintiffs with the settlement amounts in dollar value redacted from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have offered the dollar figures on the following terms:</w:t>
      </w:r>
      <w:r>
        <w:rPr>
          <w:rFonts w:ascii="arial" w:eastAsia="arial" w:hAnsi="arial" w:cs="arial"/>
          <w:sz w:val="20"/>
          <w:lang w:val="en-US" w:eastAsia="en-US" w:bidi="ar-SA"/>
        </w:rPr>
        <w:cr/>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would be provided on a confidential, without prejudice basis, for the purpose of settlement discussions and mediation only;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would keep the settlement confidential and would not refer to it in any pleadings or other filed materials. Patterson Adams would amend its response to civil claim to delete the reference to an estimated settlement amount;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amount would be disclosed to the trial judge at the conclusion of the trial to avoid any possibility of over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motion brought by Patterson Adams seeks disclosure of expert reports exchanged in the earlier actions. Those reports were delivered pursuant to R. 11-6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submit that the expert reports that were exchanged in the earlier litigation are subject to litigation privilege. It is to be noted that that matter settled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Accordingly, the issue is whether the privilege over the expert reports of the earlier proceedings was lost or waived when they were served in the course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 and Earlier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background facts to these applications involve a claim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or breach of retainer contract against two firms of solicitors, Cook Roberts and Patterson Adams, in relation to the financing by Accredit of a commercial strata development which was to be developed and constructed by Whiskey Dock Developments Ltd. (Whiskey Dock") in Ucluelet,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Cook Roberts represented the plaintiffs, Accredit and Great Pacific. Patterson Adams represented Whiskey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2008 and 2009 respectively, Whiskey Dock and Accredit commenced lawsuits against Ucluelet,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in respect of the building permit issued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2012, Raymond Goldsworthy Architect Ltd. and Raymond Goldsworthy (the "Architects") were added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19, 2012, Mr. Justice Macaulay ordered that Patterson Adams produce its files relating to the Whiskey Landing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Between July and August 2013, the parties in the earlier proceedings exchanged expert reports pursuant to R. 11-6 and a case plan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earlier proceedings were settled before the trial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25, 2013, Accredit, Whiskey Dock, Ucluelet, and the Architects entered into a confidential settlement agreement in relation to the earlier proceedings (the "BC Ferry Agreement"). Some of the terms of this agreement included: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acknowledgement that Whiskey Dock and Accredit might commence "Further Proceedings" against Patterson Adams and Cook Roberts;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waiver by Whiskey Dock and Accredit of their right to recover from Patterson Adams and Cook Roberts any portion of the damages attributable to the fault of Ucluelet and the Architects [;]</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by Ucluelet and the Architects to make documents and witnesses reasonably available in the Further Proceedings;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confidentiality clause: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Settlement Agreement, its terms and the payments made hereunder will remain confidential and may be disclosed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a Settling Party's insurers, solicitors, accountants, auditors and other professional advisors;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 Settling Party's financial statements, if such disclosure is required by generally accepted accounting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the Receiver General of Canada or other taxation authority, if such disclosure is required by legislation.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Settling Party will otherwise disclose, publish, or in any way reveal the Settlement Agreement, its terms and the payments made hereunder without the written consent of all Settling Parties or unless ordered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Accredit, Great Pacific, Whiskey Dock, and certain parties related to Whiskey Dock also entered into a settlement agreement dated November 25, 2013, to address the fact that Accredit had not recovered the full amount owing under its loan through foreclosure and the earlier proceedings. Pursuant to that agreement, Whiskey Dock and its related parties assigned all of their causes of action against Patterson Adams to Accredit, and appointed Accredit as their agent to proceed with a claim against Patterson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action relates to the construction of a strata-title hotel located in Ucluelet known as Whiskey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Whiskey Dock was the builder/developer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Patterson Adams provided legal services to Whiskey Dock and its principals and related companies in relation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Accredit was Whiskey Dock's lender. Great Pacific administered the loan as a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Cook Roberts provided legal services to Accredit in relation to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third parties Raymond Goldsworthy and Raymond Goldsworthy Architect Ltd. provided architectural services to Whiskey Dock in relation to Whiskey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Whiskey Dock was not enrolled as a "licensed residential builder", and the project was constructed without mandatory "2-5-10" home warranty insurance, contrary to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a result, the Homeowner Protection Office ("HPO") issued a compliance order on June 25, 2008, requiring, among other things, that:</w:t>
      </w:r>
      <w:r>
        <w:rPr>
          <w:rFonts w:ascii="arial" w:eastAsia="arial" w:hAnsi="arial" w:cs="arial"/>
          <w:sz w:val="20"/>
          <w:lang w:val="en-US" w:eastAsia="en-US" w:bidi="ar-SA"/>
        </w:rPr>
        <w:cr/>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Whiskey Dock cease carrying on business as a "residential builder" as defined by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until it was in compliance with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Whiskey Dock cease selling the project's residential units until they were covered by home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Whiskey Dock was unable to obtain home warranty insurance. Sales of the residential units did not complete, and the loan went into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Current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Accredit and Great Pacific commenced the within action against Patterson Adams and Cook Roberts on September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Whiskey Dock commenced action no. S-137922 against Patterson Adams and Jack Angus (the "Whiskey Dock Action") on October 25,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Whiskey Dock alleges that Patterson Adams failed to properly advise it about the requirements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the risks of continuing construction of the project without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January 26, 2015, Accredit and Whiskey Dock disclosed the BC Ferry Agreement to Patterson Adams and Cook Roberts, with settlement amounts redacted. The plaintiffs maintain this was in accordance with the Supreme Court of Canada decision in </w:t>
      </w:r>
      <w:r>
        <w:rPr>
          <w:rFonts w:ascii="arial" w:eastAsia="arial" w:hAnsi="arial" w:cs="arial"/>
          <w:i/>
          <w:color w:val="000000"/>
          <w:sz w:val="20"/>
          <w:lang w:val="en-US" w:eastAsia="en-US" w:bidi="ar-SA"/>
        </w:rPr>
        <w:t>Sable Offshore Energy v. Ameron Int'l Corp.</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2013 SCC 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2015, the plaintiffs, including Great Pacific, filed amended notices of civil claim to reflect the terms of the BC Ferry Agreement. The amended pleadings state that the plaintiffs waive all right to recover from the solicitor defendants any portion of their damages which is attributable to the fault of the District or the Architects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the BC Ferry Agreement, the Plaintiffs waive all right to recover from the Defendants any portion of their damages which is attributable to any fault of the District or the Architects or their respective agents, successors, administrators, heirs, employees, assigns or insurers or any of them, and for which the Defendants can claim from either the District or the Architects or their respective agents, successors, administrators, heirs, employees, servants, assigns or insurers or any of them for contribution or indemnity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or any successor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Patterson Adams has pled the dollar amount it believes Accredit recovered through settling the earlier proceedings. The plaintiffs have requested that Patterson Adams amend its pleadings to remove the reference to this amount, but they have refused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Pursuant to a case plan order made in June 2015, this action and the Whiskey Dock Action will be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September 2015, Patterson Adams issued a third party notice to the District and Architects. In February 2017, Cook Roberts issued a similar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third party proceedings seek a declaration as to the attribution and causation of losses proven by the plaintiffs, and an apportionment of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documents produced in the earlier proceedings pursuant to R. 7-1 by Accredit, Whiskey Dock, the District, the Architects, National Home Warranty, and the HPO have been produced. Examinations for discovery have been conducted in these proceedings, and transcripts from the examinations for discovery held in the earlier proceedings have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Given the trial is set for 45 days commencing on October 16, 2017, all parties' initiating expert reports were due on June 9,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earlier action, the key underlying issue was that Mr. Wenstob and Whiskey Dock did not obtain home warranty insurance for the strata titles that were to go into a hotel, but were to be sold as individual units. There is evidence that the building inspector of Ucluelet told Mr. Wenstob that he didn't need home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also evidence about communications between Mr. Wenstob and his lawyers on the topic of home warranty insurance, and there was a disclosure statement, which was amended from time to time and mentioned home warranty insurance, but didn't actually say that it was in place. Thus, when it came time to sell the properties, the HPO would not allow the units to be sold without home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there are means by which home warranty insurance can be put in place after the fact, if appeared that some considerable period of time elapsed before either Mr. Wenstob, Whiskey Dock, or Accredit took any steps to actually obtain and put in place home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any event, Accredit took foreclosure proceedings against the property and obtained title and entered into an agreement with Mr. Wenstob under which Mr. Wenstob assigned Whiskey Dock's rights to Accredit, including not only the right to sue his lawyers Patterson Adams but also his rights as against Ucluelet and the architect, Mr. Goldsworthy.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claim against Ucluelet was based on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which essentially says a municipality shall not issue a building permit unless home warranty coverage is in place. In addition to potentially having told Mr. Wenstob that he didn't need home warranty insurance, the building inspector also issued building permits that allowed the project to be built without home warranty insurance. And for that, Ucluelet was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Cook Roberts says the claim against his clients seems identical to what was asserted against Ucluelet by Accredit, which is that Accredit relied upon Cook Roberts and his counsel and would not have advanced the funds had the solicitors insisted on home warranty insurance or taken other steps that would have demonstrated that the home warranty insurance was not in place, so essentially claiming the same losses and the same reliance, but in two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a result of the earlier agreement and an amendment to the plaintiffs' claim to limit their relief such that the two solicitor firms cannot be held responsible for whatever portion or segment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attributable to Ucluelet and Goldsworthy, the third party proceedings in the instant cases are limited to declaratory relief only, such that the defendants are not seeking a money judgment against Ucluelet and Goldsworthy, but are claiming a declaration as to their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defendant Cook Roberts makes the point that without knowing how much Accredit received from Ucluelet, the defendants simply don't know whether they've even suffered a loss on advancing the funds, and if so, how much their loss is. Thus, say the defendants, knowing how much was advanced under the settlement Agreement is the essential element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well, without knowing the amount that Accredit settled for, the defendants say they are in a difficult position to determine whether the settlement actions by Accredit were reasonable. The defendants submit the actions of Accredit in settling the action are subject to analysis for reasonableness. To put it another way, did Accredit act reasonably in the way in which it sought to recover its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Again, submits the defendant, without knowing what the loss is, it is impossible for them to litigate the question of whether or not they owe anything, or if so, how much? And whether the plaintiffs have been reasonable in whatever steps they have taken including: was it reasonable for them not to put home warranty insurance on the project until three or four years down the road when they were dealing with that issue? Ultimately, says the defendant Cook Roberts, the focus was simply whether the settlement with Ucluelet was a reasonable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take the position that they are not required to disclose the financial terms in the BC Ferry Agreement, having disclosed everything else but the settlement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say it is not necessary or relevant to the current proceedings for the earlier settlement figures to be disclosed. They rely on settlement privilege as the rationale for not disclosing the settlement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submit that the litigation privilege relied upon by the plaintiffs is not the same in the case at bar where the plaintiffs have chosen to "litigate in slices", where privilege has been maintained for multiple defendants in the same action. Therefore, the defendants say that the issue is not identical and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Our Court of Appeal in </w:t>
      </w:r>
      <w:r>
        <w:rPr>
          <w:rFonts w:ascii="arial" w:eastAsia="arial" w:hAnsi="arial" w:cs="arial"/>
          <w:i/>
          <w:color w:val="000000"/>
          <w:sz w:val="20"/>
          <w:lang w:val="en-US" w:eastAsia="en-US" w:bidi="ar-SA"/>
        </w:rPr>
        <w:t>Middelkamp v. Fraser Valley Real Estate Board</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(1992), 71 B.C.L.R. (2d) 276</w:t>
        </w:r>
      </w:hyperlink>
      <w:r>
        <w:rPr>
          <w:rFonts w:ascii="arial" w:eastAsia="arial" w:hAnsi="arial" w:cs="arial"/>
          <w:color w:val="000000"/>
          <w:sz w:val="20"/>
          <w:lang w:val="en-US" w:eastAsia="en-US" w:bidi="ar-SA"/>
        </w:rPr>
        <w:t xml:space="preserve"> (C.A.) talked about the public interest behind this privilege in settlement communications: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 the public interest in the settlement of disputes generally requires "without prejudice" documents or communications created for, or communicated in the course of, settlement negotiations to be privileged. I would classify this as a "blanket", prima facie, common law, or "class" privilege because it arises from settlement negotiations and protects the class of communications exchanged in the course of that worthwhile endeavour.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 McEachern, C.J.B.C.]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B.C. Court of Appeal also dealt with the exceptions to settlement privilege which are "narrowly defined" and "seldom applied" in </w:t>
      </w:r>
      <w:r>
        <w:rPr>
          <w:rFonts w:ascii="arial" w:eastAsia="arial" w:hAnsi="arial" w:cs="arial"/>
          <w:i/>
          <w:color w:val="000000"/>
          <w:sz w:val="20"/>
          <w:lang w:val="en-US" w:eastAsia="en-US" w:bidi="ar-SA"/>
        </w:rPr>
        <w:t>Heritage Duty Free Shop Inc. v. Attorney General for Canada</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2005 BCCA 188</w:t>
        </w:r>
      </w:hyperlink>
      <w:r>
        <w:rPr>
          <w:rFonts w:ascii="arial" w:eastAsia="arial" w:hAnsi="arial" w:cs="arial"/>
          <w:color w:val="000000"/>
          <w:sz w:val="20"/>
          <w:lang w:val="en-US" w:eastAsia="en-US" w:bidi="ar-SA"/>
        </w:rPr>
        <w:t xml:space="preserve"> at para. 25. Generally, the exceptions include circumstances where: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existence could cast light on the quality of the evidence or motivation of a witness, or could affect the weight a court might give to the evidence;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existence could be relevant to decisions regarding the conduct of trial;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 opposing party could otherwise be misled about the position of the parties in the adversarial process;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settling parties agree that evidence will be furnished in connection with the litigation in which the application is made. In that case, the public interest in the proper disposition of litigation assumes paramountcy, and opposite parties are entitled to know about any arrangements which are made about evidence;</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involves fraud; and</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production may be required to meet a defence of laches, want of notice, passage of a limitation period, or other similar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Both plaintiffs and defendants reply upon </w:t>
      </w:r>
      <w:r>
        <w:rPr>
          <w:rFonts w:ascii="arial" w:eastAsia="arial" w:hAnsi="arial" w:cs="arial"/>
          <w:i/>
          <w:color w:val="000000"/>
          <w:sz w:val="20"/>
          <w:lang w:val="en-US" w:eastAsia="en-US" w:bidi="ar-SA"/>
        </w:rPr>
        <w:t>Sable Offshore Energy v. Ameron International Corp.</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2013 SCC 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Sable</w:t>
      </w:r>
      <w:r>
        <w:rPr>
          <w:rFonts w:ascii="arial" w:eastAsia="arial" w:hAnsi="arial" w:cs="arial"/>
          <w:color w:val="000000"/>
          <w:sz w:val="20"/>
          <w:lang w:val="en-US" w:eastAsia="en-US" w:bidi="ar-SA"/>
        </w:rPr>
        <w:t xml:space="preserve">]. The defendants take the position that </w:t>
      </w:r>
      <w:r>
        <w:rPr>
          <w:rFonts w:ascii="arial" w:eastAsia="arial" w:hAnsi="arial" w:cs="arial"/>
          <w:i/>
          <w:color w:val="000000"/>
          <w:sz w:val="20"/>
          <w:lang w:val="en-US" w:eastAsia="en-US" w:bidi="ar-SA"/>
        </w:rPr>
        <w:t>Sable</w:t>
      </w:r>
      <w:r>
        <w:rPr>
          <w:rFonts w:ascii="arial" w:eastAsia="arial" w:hAnsi="arial" w:cs="arial"/>
          <w:color w:val="000000"/>
          <w:sz w:val="20"/>
          <w:lang w:val="en-US" w:eastAsia="en-US" w:bidi="ar-SA"/>
        </w:rPr>
        <w:t xml:space="preserve"> is the high-water mark in protecting the details of a concluded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the Court said in </w:t>
      </w:r>
      <w:r>
        <w:rPr>
          <w:rFonts w:ascii="arial" w:eastAsia="arial" w:hAnsi="arial" w:cs="arial"/>
          <w:i/>
          <w:color w:val="000000"/>
          <w:sz w:val="20"/>
          <w:lang w:val="en-US" w:eastAsia="en-US" w:bidi="ar-SA"/>
        </w:rPr>
        <w:t>Sable</w:t>
      </w:r>
      <w:r>
        <w:rPr>
          <w:rFonts w:ascii="arial" w:eastAsia="arial" w:hAnsi="arial" w:cs="arial"/>
          <w:color w:val="000000"/>
          <w:sz w:val="20"/>
          <w:lang w:val="en-US" w:eastAsia="en-US" w:bidi="ar-SA"/>
        </w:rPr>
        <w:t>, commencing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There are, inevitably, exceptions to the privilege. To come within those exceptions, a defendant must show that, on balance, "a competing public interest outweighs the public interest in encouraging settlement" (</w:t>
      </w:r>
      <w:r>
        <w:rPr>
          <w:rFonts w:ascii="arial" w:eastAsia="arial" w:hAnsi="arial" w:cs="arial"/>
          <w:i/>
          <w:color w:val="000000"/>
          <w:sz w:val="20"/>
          <w:lang w:val="en-US" w:eastAsia="en-US" w:bidi="ar-SA"/>
        </w:rPr>
        <w:t>Dos Santos Estate v. Sun Life Assurance Co. of Canada</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2005 BCCA 4</w:t>
        </w:r>
      </w:hyperlink>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207 B.C.A.C. 54</w:t>
        </w:r>
      </w:hyperlink>
      <w:r>
        <w:rPr>
          <w:rFonts w:ascii="arial" w:eastAsia="arial" w:hAnsi="arial" w:cs="arial"/>
          <w:color w:val="000000"/>
          <w:sz w:val="20"/>
          <w:lang w:val="en-US" w:eastAsia="en-US" w:bidi="ar-SA"/>
        </w:rPr>
        <w:t>, at para. 20). These countervailing interests have been found to include allegations of misrepresentation, fraud or undue influence ..., and preventing a plaintiff from being overcompensated (</w:t>
      </w:r>
      <w:r>
        <w:rPr>
          <w:rFonts w:ascii="arial" w:eastAsia="arial" w:hAnsi="arial" w:cs="arial"/>
          <w:i/>
          <w:color w:val="000000"/>
          <w:sz w:val="20"/>
          <w:lang w:val="en-US" w:eastAsia="en-US" w:bidi="ar-SA"/>
        </w:rPr>
        <w:t>Dos Santos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non-settling defendants argue that there should be an exception to the privilege for the amounts of the settlements because they say they need this information to conduct their litigation. I see no tangible prejudice created by withholding the amounts of the settlements which can be said to outweigh the public interest in promoting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And further, commencing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It is therefore not clear to me how knowledge of the settlement amounts materially affects the ability of the non-settling defendants to know and present their case. The defendants remain fully aware of the claims they must defend themselves against and of the overall amount that Sable is seeking. It is true that knowing the settlement amounts might allow the defendants to revise their estimate of how much they want to invest in the case, but this, it seems to me, does not rise to a sufficient level of importance to displace the public interest in promoting settlements.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non-settling defendants also argued that refusing disclosure impedes their own possible settlement initiatives since they are more likely to settle if they know the settlement amounts already negotiated. Perhaps. But they may also, depending on the amounts, arguably come to see them as a disincentive. In any event, theirs is essentially a circular argument that the interest in </w:t>
      </w:r>
      <w:r>
        <w:rPr>
          <w:rFonts w:ascii="arial" w:eastAsia="arial" w:hAnsi="arial" w:cs="arial"/>
          <w:i/>
          <w:color w:val="000000"/>
          <w:sz w:val="20"/>
          <w:lang w:val="en-US" w:eastAsia="en-US" w:bidi="ar-SA"/>
        </w:rPr>
        <w:t>subsequent</w:t>
      </w:r>
      <w:r>
        <w:rPr>
          <w:rFonts w:ascii="arial" w:eastAsia="arial" w:hAnsi="arial" w:cs="arial"/>
          <w:color w:val="000000"/>
          <w:sz w:val="20"/>
          <w:lang w:val="en-US" w:eastAsia="en-US" w:bidi="ar-SA"/>
        </w:rPr>
        <w:t xml:space="preserve"> settlement outweighs the public interest in encouraging the initial settlement. But the likelihood of an </w:t>
      </w:r>
      <w:r>
        <w:rPr>
          <w:rFonts w:ascii="arial" w:eastAsia="arial" w:hAnsi="arial" w:cs="arial"/>
          <w:i/>
          <w:color w:val="000000"/>
          <w:sz w:val="20"/>
          <w:lang w:val="en-US" w:eastAsia="en-US" w:bidi="ar-SA"/>
        </w:rPr>
        <w:t>initial</w:t>
      </w:r>
      <w:r>
        <w:rPr>
          <w:rFonts w:ascii="arial" w:eastAsia="arial" w:hAnsi="arial" w:cs="arial"/>
          <w:color w:val="000000"/>
          <w:sz w:val="20"/>
          <w:lang w:val="en-US" w:eastAsia="en-US" w:bidi="ar-SA"/>
        </w:rPr>
        <w:t xml:space="preserve"> settlement decreases if the amount is disclosable.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A proper analysis of a claim for an exception to settlement privilege does not simply ask whether the non-settling defendants derive some tactical advantage from disclosure, but whether the reason for disclosure </w:t>
      </w:r>
      <w:r>
        <w:rPr>
          <w:rFonts w:ascii="arial" w:eastAsia="arial" w:hAnsi="arial" w:cs="arial"/>
          <w:i/>
          <w:color w:val="000000"/>
          <w:sz w:val="20"/>
          <w:lang w:val="en-US" w:eastAsia="en-US" w:bidi="ar-SA"/>
        </w:rPr>
        <w:t>outweighs</w:t>
      </w:r>
      <w:r>
        <w:rPr>
          <w:rFonts w:ascii="arial" w:eastAsia="arial" w:hAnsi="arial" w:cs="arial"/>
          <w:color w:val="000000"/>
          <w:sz w:val="20"/>
          <w:lang w:val="en-US" w:eastAsia="en-US" w:bidi="ar-SA"/>
        </w:rPr>
        <w:t xml:space="preserve"> the policy in favour of promoting settlement. While protecting disclosure of settlement negotiations and their fruits has the demonstrable benefit of promoting settlement, there is little corresponding harm in denying disclosure of the settlement amounts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plaintiffs submit that the Supreme Court of Canada in </w:t>
      </w:r>
      <w:r>
        <w:rPr>
          <w:rFonts w:ascii="arial" w:eastAsia="arial" w:hAnsi="arial" w:cs="arial"/>
          <w:i/>
          <w:color w:val="000000"/>
          <w:sz w:val="20"/>
          <w:lang w:val="en-US" w:eastAsia="en-US" w:bidi="ar-SA"/>
        </w:rPr>
        <w:t>Sable</w:t>
      </w:r>
      <w:r>
        <w:rPr>
          <w:rFonts w:ascii="arial" w:eastAsia="arial" w:hAnsi="arial" w:cs="arial"/>
          <w:color w:val="000000"/>
          <w:sz w:val="20"/>
          <w:lang w:val="en-US" w:eastAsia="en-US" w:bidi="ar-SA"/>
        </w:rPr>
        <w:t xml:space="preserve"> concluded that the monetary terms of a settlement agreement did not need to be produced prior to trial. In deciding whether settlement privilege must give way to disclosure, the Court in </w:t>
      </w:r>
      <w:r>
        <w:rPr>
          <w:rFonts w:ascii="arial" w:eastAsia="arial" w:hAnsi="arial" w:cs="arial"/>
          <w:i/>
          <w:color w:val="000000"/>
          <w:sz w:val="20"/>
          <w:lang w:val="en-US" w:eastAsia="en-US" w:bidi="ar-SA"/>
        </w:rPr>
        <w:t>Sable</w:t>
      </w:r>
      <w:r>
        <w:rPr>
          <w:rFonts w:ascii="arial" w:eastAsia="arial" w:hAnsi="arial" w:cs="arial"/>
          <w:color w:val="000000"/>
          <w:sz w:val="20"/>
          <w:lang w:val="en-US" w:eastAsia="en-US" w:bidi="ar-SA"/>
        </w:rPr>
        <w:t xml:space="preserve"> held that there must be a competing public interest which outweighs the public interest in encouraging settlement. As set out at para. 27,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 the Court rejected the argument that the non-settling defendants needed to know that information to conduct their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 similar conclusion was reached in </w:t>
      </w:r>
      <w:r>
        <w:rPr>
          <w:rFonts w:ascii="arial" w:eastAsia="arial" w:hAnsi="arial" w:cs="arial"/>
          <w:i/>
          <w:color w:val="000000"/>
          <w:sz w:val="20"/>
          <w:lang w:val="en-US" w:eastAsia="en-US" w:bidi="ar-SA"/>
        </w:rPr>
        <w:t>BC Children's Hospital v. Air Products Canada Lts.</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[2003] B.C.J. No. 591</w:t>
        </w:r>
      </w:hyperlink>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2003 BCCA 177</w:t>
        </w:r>
      </w:hyperlink>
      <w:r>
        <w:rPr>
          <w:rFonts w:ascii="arial" w:eastAsia="arial" w:hAnsi="arial" w:cs="arial"/>
          <w:color w:val="000000"/>
          <w:sz w:val="20"/>
          <w:lang w:val="en-US" w:eastAsia="en-US" w:bidi="ar-SA"/>
        </w:rPr>
        <w:t xml:space="preserve">. In that case, the hospitals purchased products from a number of defendants. The suppliers pled guilty to charges of conspiracy pursuant to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R.S.C. 1985, c. 34. The plaintiffs commenced actions for damages based upon conspiracy, then settled with some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 Children's Hospital</w:t>
      </w:r>
      <w:r>
        <w:rPr>
          <w:rFonts w:ascii="arial" w:eastAsia="arial" w:hAnsi="arial" w:cs="arial"/>
          <w:color w:val="000000"/>
          <w:sz w:val="20"/>
          <w:lang w:val="en-US" w:eastAsia="en-US" w:bidi="ar-SA"/>
        </w:rPr>
        <w:t>, it was agreed by the parties to the settlement agreement that the terms of the agreement would remain confidential. The remaining defendants applied for production of the settlement agreement. The B.C. Court of Appeal agreed with the trial judge that the amount of the settlement was not relevant and not subject to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maintain that in order to establish an exception to settlement privilege, Cook Roberts must show a competing or overriding public interest that outweighs the "compelling public interest" in encouraging settlement. . It must demonstrate that disclosure of the settlement amount is both relevant and necessary in the circumstances, such that it is in the interests of justice that it be disclosed, and not just in the interest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have also expressed concern that disclosing the settlement amount before trial would prejudice the plaintiffs and third parties by influencing the proceedings and affecting how liability is allocated amongst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the other hand, the defendants submit that the redacted information from the settlement agreement is relevant and necessary evidence, especially, because of the nature of the claim against Cook Roberts. The defendants say that they are precluded from making a proper argument without all the facts, one of which is what position the plaintiffs would be in now if they had been advised differently. Counsel for the defendants suggests that "having to argue in a vacuum" will be incredibly difficult, yet the defendants know everything about the prior case but for the settlement amounts, which the plaintiffs say will be disclosed to the Court at the end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the defendants' point is that this is litigation in slices and possibly an abuse of the court's process, for now, I am satisfied that the defendants have not shown me that the reasons for disclosure outweigh the policy in favour of promoting settlement other than for personal benefit of the defendants. Accordingly, the application of the Cook Roberts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Settlement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Patterson Adams Defendants seek to compel disclosure by the plaintiffs and third parties of any and all documents that were exchanged between them in the earlier proceedings, the Victoria Actions, including all expert reports or summaries of expert opinion, minutes of evidence, particulars of loss and damage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claims by the plaintiffs in these two actions are against two firms of solicitors for breach of duty and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Accredit and Great Pacific claim to have sustained multi-million dollar losses arising from the foreclosure of the subject property. The claims are pleaded as follows:</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reason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plaintiffs have suffered loss and damage, particulars of which include:</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losses resulting from the Borrowers' default under the Loan and modification agreements;</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financing and carrying costs, interest charges, and loss of investment capital caused by the Borrowers' default under the Loan and modification agreements;</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maintenance costs, insurance premiums and taxes paid in relation to the Project and other security for the Loan and modification agreements;</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consulting fees, disbursements and taxes incurred to investigate the condition of the Project;</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fees, disbursements and taxes incurred in the foreclosure proceedings;</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fees, disbursements and taxes incurred in action no. S-085211 and action no. S-104734;</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the plaintiffs may advise or prove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have suffered loss and damage by reason of the defendants'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particulars of which include: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liability to Accredit under the order nisi in the foreclosure proceedings;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the plaintiffs' interest in the security for the Loan;</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economic loss resulting from Whiskey Dock's inability to sell the Project's strata lots at all or as originally contemplated;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economic loss resulting from the reduced market value of the Project;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costs associated with the maintenance and management of the Project;</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financing and carrying costs, interest charges, and loss of investment capital associated with the Loan;</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the plaintiffs may advise or prove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say that not only do the pleadings as set out above make certain claims against the defendants, but also in addition to the amounts claimable under the foreclosure, they appear to claim all profits they hoped to realize from the development, and all expenses incurred in recovering what they have in fact recovered. The claim asserted by Accredit in its capacity as assignee of Whiskey Dock against Patterson Adams is said to exceed $10 million, although it is not known how that quantum is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go on to say that Accredit and Whiskey Dock had also previously sued the District of Ucluelet, and the Architect, Raymond Goldsworthy. In those Victoria Actions, they sought substantially the same losses as are now being claimed against Patterson Adams and Cook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Victoria Actions, they claimed that the District and the Architects were solely responsible for the losses sustained by Accredit on the financing and by Whiskey Dock by reason of the financial failure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two Victoria Actions claimed </w:t>
      </w:r>
      <w:r>
        <w:rPr>
          <w:rFonts w:ascii="arial" w:eastAsia="arial" w:hAnsi="arial" w:cs="arial"/>
          <w:i/>
          <w:color w:val="000000"/>
          <w:sz w:val="20"/>
          <w:lang w:val="en-US" w:eastAsia="en-US" w:bidi="ar-SA"/>
        </w:rPr>
        <w:t>inter alia:</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Architect for breach of duty in relation to the failure of the building envelope, which permitted water penetration and substantial damage to the development requiring remediation costing in excess of $2.5M;</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the District for breach of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S.B.C. 1998, ch. 31, s. 30</w:t>
        </w:r>
      </w:hyperlink>
      <w:r>
        <w:rPr>
          <w:rFonts w:ascii="arial" w:eastAsia="arial" w:hAnsi="arial" w:cs="arial"/>
          <w:color w:val="000000"/>
          <w:sz w:val="20"/>
          <w:lang w:val="en-US" w:eastAsia="en-US" w:bidi="ar-SA"/>
        </w:rPr>
        <w:t xml:space="preserve"> in issuing a building permit to Whiskey Dock without proof of existing New Home Warranty insurance on the residential, strata title component of the development; and,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Architect for failing to ensure that New Home Warranty insurance coverage was obtained in a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Since the plaintiffs settled the two Victoria Actions against the District and the Architects just prior to trial, after all of them had served all of their expert reports and received expert reports from each other, the defendants say there can obviously be no privilege remaining to be asserted over those expert reports since they were disclosed and served on parties then opposite in interest to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 to Affidavit #1 of Mariana Sichova filed by the plaintiffs, their Lists of Documents attached as Schedule C and D the exact copies of the Lists of Documents of the District and the Architects produced in the Victoria Actions. There are thousands of documents produced, but they do not include expert reports or other items exchanged between the parties in the course of those actions and preparation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February 29, 2016, counsel for Patterson Adams sought further disclosure of documents from the Victoria Actions, including all discovery transcripts, non-privileged correspondence, and non-privileged documents relevant to these cases and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May 16, 2016, counsel for the plaintiffs produced amended Lists of Documents which included the examination for discovery transcripts from the Victoria Actions and certain summaries of evidence ordered to be produced by Ucluelet.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May 18, 2016, the plaintiffs produced further amended Lists of Documents which attached redacted correspondence in the Victoria Actions responding to requests from discovery in those actions (Webster at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the examination for discovery of Mr. Wenstob conducted by counsel for Patterson Adams on March 2, 2017, in response to a question as to where the expert reports in the underlying cases in Victoria were in his clients' disclosure, counsel for the plaintiffs indicated that even though expert reports and other documents had been exchanged between the plaintiffs and the third parties in the underlying Victoria Actions which were settled on the eve of trial, his view was that they need not be and would not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Thereafter, also on March 2, 2017, counsel for Patterson Adams made formal demand and request for production of those and other documents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take a contrary view. Starting with the proposition that litigation privilege is intended to facilitate the adversarial process, the plaintiffs maintain that litigation privilege retains its purpose and effect where the litigation that gave rise to the privilege has ended, but related litigation remains pending or may reasonably be apprehended.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submit that they obtained the expert opinions in the earlier proceedings to prosecute the claims against the District and the Architects. They maintain they posed strategic questions to the consultants, and prepared lists of assumed facts and documents to be reviewed, and now say the defendants are seeking those materials and work product to save time and expense in prosecuting their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Blank v. Canada (Minister of Justice)</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2006 SCC 39</w:t>
        </w:r>
      </w:hyperlink>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[2006] 2 S.C.R. 319</w:t>
        </w:r>
      </w:hyperlink>
      <w:r>
        <w:rPr>
          <w:rFonts w:ascii="arial" w:eastAsia="arial" w:hAnsi="arial" w:cs="arial"/>
          <w:color w:val="000000"/>
          <w:sz w:val="20"/>
          <w:lang w:val="en-US" w:eastAsia="en-US" w:bidi="ar-SA"/>
        </w:rPr>
        <w:t xml:space="preserve"> provides the framework for the plaintiffs' submissions and reticence to produce the expert reports in the following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purpose of the litigation privilege, I repeat, is to create a "zone of privacy" in relation to pending or apprehended litigation. Once the litigation has ended, the privilege to which it gave rise has lost its specific and concrete purpose -- and therefore its justification. But to borrow a phrase, the litigation is not over until it is over: It cannot be said to have "terminated", in any meaningful sense of that term, where litigants or related parties remain locked in what is essentially the same legal combat.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Except where such related litigation persists, there is no need and no reason to protect from discovery anything that would have been subject to compellable disclosure but for the pending or apprehended proceedings which provided its shield. Where the litigation has indeed ended, there is little room for concern lest opposing counsel or their clients argue their case "on wits borrowed from the adversary", to use the language of the U.S. Supreme Court in Hickman, at p. 516.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 therefore agree with the majority in the Federal Court of Appeal and others who share their view that the common law litigation privilege comes to an end, absent closely related proceedings, upon the termination of the litigation that gave rise to the [page334] privilege: Lifford; Chrusz; Big Canoe; Boulianne v. Flynn, </w:t>
      </w:r>
      <w:hyperlink r:id="rId1063" w:history="1">
        <w:r>
          <w:rPr>
            <w:rFonts w:ascii="arial" w:eastAsia="arial" w:hAnsi="arial" w:cs="arial"/>
            <w:i/>
            <w:color w:val="0077CC"/>
            <w:sz w:val="20"/>
            <w:u w:val="single"/>
            <w:shd w:val="clear" w:color="auto" w:fill="FFFFFF"/>
            <w:lang w:val="en-US" w:eastAsia="en-US" w:bidi="ar-SA"/>
          </w:rPr>
          <w:t>[1970] 3 O.R. 84</w:t>
        </w:r>
      </w:hyperlink>
      <w:r>
        <w:rPr>
          <w:rFonts w:ascii="arial" w:eastAsia="arial" w:hAnsi="arial" w:cs="arial"/>
          <w:color w:val="000000"/>
          <w:sz w:val="20"/>
          <w:lang w:val="en-US" w:eastAsia="en-US" w:bidi="ar-SA"/>
        </w:rPr>
        <w:t xml:space="preserve"> (H.C.J.); Wujda v. Smith </w:t>
      </w:r>
      <w:hyperlink r:id="rId1064" w:history="1">
        <w:r>
          <w:rPr>
            <w:rFonts w:ascii="arial" w:eastAsia="arial" w:hAnsi="arial" w:cs="arial"/>
            <w:i/>
            <w:color w:val="0077CC"/>
            <w:sz w:val="20"/>
            <w:u w:val="single"/>
            <w:shd w:val="clear" w:color="auto" w:fill="FFFFFF"/>
            <w:lang w:val="en-US" w:eastAsia="en-US" w:bidi="ar-SA"/>
          </w:rPr>
          <w:t>(1974), 49 D.L.R. (3d) 476</w:t>
        </w:r>
      </w:hyperlink>
      <w:r>
        <w:rPr>
          <w:rFonts w:ascii="arial" w:eastAsia="arial" w:hAnsi="arial" w:cs="arial"/>
          <w:color w:val="000000"/>
          <w:sz w:val="20"/>
          <w:lang w:val="en-US" w:eastAsia="en-US" w:bidi="ar-SA"/>
        </w:rPr>
        <w:t xml:space="preserve"> (Man. Q.B.); Meaney v. Busby </w:t>
      </w:r>
      <w:hyperlink r:id="rId1065" w:history="1">
        <w:r>
          <w:rPr>
            <w:rFonts w:ascii="arial" w:eastAsia="arial" w:hAnsi="arial" w:cs="arial"/>
            <w:i/>
            <w:color w:val="0077CC"/>
            <w:sz w:val="20"/>
            <w:u w:val="single"/>
            <w:shd w:val="clear" w:color="auto" w:fill="FFFFFF"/>
            <w:lang w:val="en-US" w:eastAsia="en-US" w:bidi="ar-SA"/>
          </w:rPr>
          <w:t>(1977), 15 O.R. (2d) 71</w:t>
        </w:r>
      </w:hyperlink>
      <w:r>
        <w:rPr>
          <w:rFonts w:ascii="arial" w:eastAsia="arial" w:hAnsi="arial" w:cs="arial"/>
          <w:color w:val="000000"/>
          <w:sz w:val="20"/>
          <w:lang w:val="en-US" w:eastAsia="en-US" w:bidi="ar-SA"/>
        </w:rPr>
        <w:t xml:space="preserve"> (H.C.J.); Canada Southern Petroleum Ltd. v. Amoco Canada Petroleum Co. </w:t>
      </w:r>
      <w:hyperlink r:id="rId1066" w:history="1">
        <w:r>
          <w:rPr>
            <w:rFonts w:ascii="arial" w:eastAsia="arial" w:hAnsi="arial" w:cs="arial"/>
            <w:i/>
            <w:color w:val="0077CC"/>
            <w:sz w:val="20"/>
            <w:u w:val="single"/>
            <w:shd w:val="clear" w:color="auto" w:fill="FFFFFF"/>
            <w:lang w:val="en-US" w:eastAsia="en-US" w:bidi="ar-SA"/>
          </w:rPr>
          <w:t>(1995), 300 A.R. 201</w:t>
        </w:r>
      </w:hyperlink>
      <w:r>
        <w:rPr>
          <w:rFonts w:ascii="arial" w:eastAsia="arial" w:hAnsi="arial" w:cs="arial"/>
          <w:color w:val="000000"/>
          <w:sz w:val="20"/>
          <w:lang w:val="en-US" w:eastAsia="en-US" w:bidi="ar-SA"/>
        </w:rPr>
        <w:t xml:space="preserve"> (Q.B.). See also Sopinka, Lederman and Bryant; Paciocco and Stuesser.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Thus, the principle "once privileged, always privileged", so vital to the solicitor-client privilege, is foreign to the litigation privilege. The litigation privilege, unlike the solicitor-client privilege, is neither absolute in scope nor permanent in duration.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As mentioned earlier, however, the privilege may retain its purpose -- and, therefore, its effect -- where the litigation that gave rise to the privilege has ended, but related litigation remains pending or may reasonably be apprehended. In this regard, I agree with Pelletier J.A. regarding "the possibility of defining ... litigation more broadly than the particular proceeding which gave rise to the claim" (para. 89); see Ed Miller Sales &amp; Rentals Ltd. v. Caterpillar Tractor Co. </w:t>
      </w:r>
      <w:hyperlink r:id="rId1067" w:history="1">
        <w:r>
          <w:rPr>
            <w:rFonts w:ascii="arial" w:eastAsia="arial" w:hAnsi="arial" w:cs="arial"/>
            <w:i/>
            <w:color w:val="0077CC"/>
            <w:sz w:val="20"/>
            <w:u w:val="single"/>
            <w:shd w:val="clear" w:color="auto" w:fill="FFFFFF"/>
            <w:lang w:val="en-US" w:eastAsia="en-US" w:bidi="ar-SA"/>
          </w:rPr>
          <w:t>(1988), 90 A.R. 323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At a minimum, it seems to me, this enlarged definition of "litigation" includes separate proceedings that involve the same or related parties and arise from the same or a related cause of action (or "juridical source"). Proceedings that raise issues common to the initial action and share its essential purpose would in my view qualify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As a matter of principle, the boundaries of this extended meaning of "litigation" are limited by the purpose for which litigation privilege is granted, namely, as mentioned, "the need for a protected area to facilitate investigation and preparation of a case for trial by the adversarial advocate" (Sharpe, at p. 165). This purpose, in the context of s. 23 of the Access Act must take into account the nature of much government litigation. In the 1980s, for example, the federal government [page335] confronted litigation across Canada arising out of its urea formaldehyde insulation program. The parties were different and the specifics of each claim were different but the underlying liability issues were common across the country.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such a situation, the advocate's "protected area" would extend to work related to those underlying liability issues even after some but not all of the individual claims had been disposed of. There were common issues and the causes of action, in terms of the advocate's work product, were closely related. When the claims belonging to that particular group of causes of action had all been dealt with, however, litigation privilege would have been exhausted, even if subsequent disclosure of the files would reveal aspects of government operations or general litigation strategies that the government would prefer to keep from its former adversaries or other requesters under the Access Act. Similar issues may arise in the private sector, for example in the case of a manufacturer dealing with related product liability claims. In each case, the duration and extent of the litigation privilege are circumscribed by its underlying purpose, namely the protection essential to the proper operation of the adversarial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Madam Justice McLachlin (as she then was), in </w:t>
      </w:r>
      <w:r>
        <w:rPr>
          <w:rFonts w:ascii="arial" w:eastAsia="arial" w:hAnsi="arial" w:cs="arial"/>
          <w:i/>
          <w:color w:val="000000"/>
          <w:sz w:val="20"/>
          <w:lang w:val="en-US" w:eastAsia="en-US" w:bidi="ar-SA"/>
        </w:rPr>
        <w:t>S. &amp; K. Processors Ltd. v. Campbell Ave. Herring Producers Ltd.</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[1983] B.C.J. No. 1499</w:t>
        </w:r>
      </w:hyperlink>
      <w:r>
        <w:rPr>
          <w:rFonts w:ascii="arial" w:eastAsia="arial" w:hAnsi="arial" w:cs="arial"/>
          <w:color w:val="000000"/>
          <w:sz w:val="20"/>
          <w:lang w:val="en-US" w:eastAsia="en-US" w:bidi="ar-SA"/>
        </w:rPr>
        <w:t xml:space="preserve"> (S.C.), spoke of waiver in the face of being compelled to produce expert documents due to legislation, which in that case was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R.S.B.C. 1979, c. 116, but more recently has been caused by the rules of Court by way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At para. 9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It is settled that legislation is to be taken as abrogating privilege only if it does so in clear and unambiguous terms: Re Dir. of Investigation &amp; Research and Can. Safeway Ltd., </w:t>
      </w:r>
      <w:hyperlink r:id="rId1069" w:history="1">
        <w:r>
          <w:rPr>
            <w:rFonts w:ascii="arial" w:eastAsia="arial" w:hAnsi="arial" w:cs="arial"/>
            <w:i/>
            <w:color w:val="0077CC"/>
            <w:sz w:val="20"/>
            <w:u w:val="single"/>
            <w:shd w:val="clear" w:color="auto" w:fill="FFFFFF"/>
            <w:lang w:val="en-US" w:eastAsia="en-US" w:bidi="ar-SA"/>
          </w:rPr>
          <w:t>[1972] 3 W.W.R. 547</w:t>
        </w:r>
      </w:hyperlink>
      <w:r>
        <w:rPr>
          <w:rFonts w:ascii="arial" w:eastAsia="arial" w:hAnsi="arial" w:cs="arial"/>
          <w:color w:val="000000"/>
          <w:sz w:val="20"/>
          <w:lang w:val="en-US" w:eastAsia="en-US" w:bidi="ar-SA"/>
        </w:rPr>
        <w:t>. It is also apparent that had the Legislature wished to abrogate privilege, not only with respect to an expert's opinion and the facts upon which it is based, but as to the communications between the expert, the instructing solicitor and the client in the course of preparation of the report, it could have drafted s. 11 to so provide. These considerations weigh against requiring production of the documents here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learned jurist went on to elaborate on the compulsion aspect of the legislation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the case of production of an expert's report under the Evidence Act, s. 11, it can be contended that the pre-trial production of the report and the attendant loss of privilege at that stage is involuntary, being compelled by statute. Being involuntary, it cannot constitute waiver, although it is clear that under s. 11 privilege will be lost as to the opinion and the facts upon which it is based. Moreover, even if production of the report pursuant to the Act could be said to constitute waiver, in these circumstances it cannot be said to be unfair or inconsistent that the party producing it retain such privilege as is left to him by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 the result, I conclude that the privilege attaching to these documents has not been waived. The plaintiffs are not entitled to production. They are, however, entitled to disclosure of all the facts upon which the inferences and conclusions contained in the Laventhol &amp; Horwath report are based, to be furnished by way of particulars as well as by supplementation of the report in so far as it fails to precisely set forth those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Mr. Justice Johnston said much the same thing in </w:t>
      </w:r>
      <w:r>
        <w:rPr>
          <w:rFonts w:ascii="arial" w:eastAsia="arial" w:hAnsi="arial" w:cs="arial"/>
          <w:i/>
          <w:color w:val="000000"/>
          <w:sz w:val="20"/>
          <w:lang w:val="en-US" w:eastAsia="en-US" w:bidi="ar-SA"/>
        </w:rPr>
        <w:t>West Moberly First Nations v. British Columbia</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2014 BCSC 410</w:t>
        </w:r>
      </w:hyperlink>
      <w:r>
        <w:rPr>
          <w:rFonts w:ascii="arial" w:eastAsia="arial" w:hAnsi="arial" w:cs="arial"/>
          <w:color w:val="000000"/>
          <w:sz w:val="20"/>
          <w:lang w:val="en-US" w:eastAsia="en-US" w:bidi="ar-SA"/>
        </w:rPr>
        <w:t>, commencing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That a party may disclose otherwise privileged documents to one party without necessarily waiving or losing its claim of privilege with respect to other parties was established, at least in Alberta, in </w:t>
      </w:r>
      <w:r>
        <w:rPr>
          <w:rFonts w:ascii="arial" w:eastAsia="arial" w:hAnsi="arial" w:cs="arial"/>
          <w:i/>
          <w:color w:val="000000"/>
          <w:sz w:val="20"/>
          <w:lang w:val="en-US" w:eastAsia="en-US" w:bidi="ar-SA"/>
        </w:rPr>
        <w:t>Western Canadian Place Ltd. v. Con-Force Products Ltd</w:t>
      </w:r>
      <w:r>
        <w:rPr>
          <w:rFonts w:ascii="arial" w:eastAsia="arial" w:hAnsi="arial" w:cs="arial"/>
          <w:color w:val="000000"/>
          <w:sz w:val="20"/>
          <w:lang w:val="en-US" w:eastAsia="en-US" w:bidi="ar-SA"/>
        </w:rPr>
        <w:t xml:space="preserve">. (1997), </w:t>
      </w:r>
      <w:hyperlink r:id="rId1071" w:history="1">
        <w:r>
          <w:rPr>
            <w:rFonts w:ascii="arial" w:eastAsia="arial" w:hAnsi="arial" w:cs="arial"/>
            <w:i/>
            <w:color w:val="0077CC"/>
            <w:sz w:val="20"/>
            <w:u w:val="single"/>
            <w:shd w:val="clear" w:color="auto" w:fill="FFFFFF"/>
            <w:lang w:val="en-US" w:eastAsia="en-US" w:bidi="ar-SA"/>
          </w:rPr>
          <w:t>50 Alta. L.R. (3d) 131</w:t>
        </w:r>
      </w:hyperlink>
      <w:r>
        <w:rPr>
          <w:rFonts w:ascii="arial" w:eastAsia="arial" w:hAnsi="arial" w:cs="arial"/>
          <w:color w:val="000000"/>
          <w:sz w:val="20"/>
          <w:lang w:val="en-US" w:eastAsia="en-US" w:bidi="ar-SA"/>
        </w:rPr>
        <w:t xml:space="preserve"> (Alta. Q.B.), where the court said at para.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Waiver, however, depends upon intention. The giving of a privileged document to one party in litigation does not necessarily show an intention to waive the privilege in respect of all other parties or in respect of other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Rule 11-6 governs disclosure of expert reports that are to be tendered in evidence at a trial and requires delivery to other parties at least 84 days before trial. In this case, given the complexity of the issues and the length of trial, that delivery date has been advanced substantially for all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 am persuaded that litigation privilege continues to protect expert reports from forced disclosure, and that voluntary disclosure to parties, as a result of a Case Plan Order, has not amounted to a waiver of the privilege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After a review of the law as set out above, I am satisfied that at the very least the expert opinions provided by the plaintiffs in the earlier actions were compelled by the operation of R. 11-6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and that the current actions are pending related litigation such that the litigation privilege remains intact regarding the documents sought by the Patterson Adams defendants. Accordingly, the application for production of various documents sought by the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Unless the parties otherwise agree, I am of the view that the plaintiffs are entitled to their costs of defending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 TAYLOR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2"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2"/>
          <w:headerReference w:type="default" r:id="rId1073"/>
          <w:footerReference w:type="even" r:id="rId1074"/>
          <w:footerReference w:type="default" r:id="rId1075"/>
          <w:headerReference w:type="first" r:id="rId1076"/>
          <w:footerReference w:type="first" r:id="rId10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8" w:history="1">
        <w:r>
          <w:rPr>
            <w:rFonts w:ascii="arial" w:eastAsia="arial" w:hAnsi="arial" w:cs="arial"/>
            <w:b/>
            <w:bCs/>
            <w:i/>
            <w:color w:val="0077CC"/>
            <w:kern w:val="32"/>
            <w:sz w:val="28"/>
            <w:szCs w:val="32"/>
            <w:u w:val="single"/>
            <w:shd w:val="clear" w:color="auto" w:fill="FFFFFF"/>
            <w:lang w:val="en-US" w:eastAsia="en-US" w:bidi="ar-SA"/>
          </w:rPr>
          <w:t>Ainsworth Lumber Co. v. KMW Energy Inc., [2000] B.C.J. No. 1955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C961674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1955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C.P.C. (4th) 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A.C.W.S. (3d) 766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Ainsworth Lumber Co. Ltd., plaintiff, and KMW Energy Inc., Eric Bertil Rosen, and KMW Systems Inc., defendants, and Bigelow-Liptak of Canada Limited, Premier Refractories Canada, Ltd., Thermal Ceramics HTH Heatech Inc., Eugene Forest Systems Ltd., and the Howden Fan Company, third parties, and Ainsworth Lumber Co. Ltd. and KMW Energy Inc., KMW Energy Inc., fourth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3"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6" w:name="Keywords_47"/>
      <w:bookmarkEnd w:id="306"/>
      <w:r>
        <w:rPr>
          <w:rFonts w:ascii="arial" w:eastAsia="arial" w:hAnsi="arial" w:cs="arial"/>
          <w:b/>
          <w:color w:val="000000"/>
          <w:sz w:val="20"/>
          <w:lang w:val="en-US" w:eastAsia="en-US" w:bidi="ar-SA"/>
        </w:rPr>
        <w:t>Practice — Parties — Adding or substituting parties — Adding or substituting defendants — To litigate separate issues — Circumstances when denied.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7" w:name="Case Summary_44"/>
            <w:bookmarkEnd w:id="3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Ainsworth Lumber to amend its statement of claim by adding third parties as party defendants. Ainsworth had hired the defendant KMW Energy to construct a component of an industrial plant. Ainsworth, claiming that the component did not work, brought an action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misrepresentation, breach of fiduciary duty, and breach of contract. KMW joined its subcontractors and material suppliers as third parties. The cause of action that Ainsworth sought to plead against a particular product's supplier, Thermal Ceramics, and against the installer, Bigelow-Liptak, was failure to warn of an inherent risk of harm. The cause of action against the third party Heatech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recommending a certain element of the system, and breach of contract in failing to supply an element. The third parties conceded that Ainsworth had established a possible cause of action against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8" w:name="Holdings of Court_36"/>
            <w:bookmarkEnd w:id="308"/>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no statutory requirements impeding the addition of the third parties. It was convenient and sensible to have the third parties added as defendants. However, it was not just to do so. Converting the third parties into party defendants would have introduced three new causes of action. The third parties would have had to prepare for a much broader claim, resulting in actual prejudice. Ainsworth could have pursued its claims against the third parties by commencing new proceedings. The risk of potentially inconsistent results in different proceedings was outweighed by actual prejudice.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9" w:name="Legislation Cited_24"/>
      <w:bookmarkEnd w:id="3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4"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0" w:name="Counsel_48"/>
      <w:bookmarkEnd w:id="3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5"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 Short and J. Ott, for the plaintiff. R.A. Hodgins, for the defendants. W.E. Knutson, for the third party, Bigelow-Liptak of Canada Limited. S. Ip, for the third party, Premier Refractories Canada, Ltd. R.R.C. Twining and K. Wigmore, for the third party, Thermal Ceramics. C.D. MacKinnon, for the third party, HTH Heatech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1" w:name="Judgment_48"/>
      <w:bookmarkEnd w:id="311"/>
      <w:r>
        <w:pict>
          <v:line id="_x0000_s1266" style="position:absolute;z-index:2518609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2" w:name="R.D. WILSON J."/>
            <w:bookmarkEnd w:id="312"/>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contracted the defendant KMW Energy Inc. to design and construct one component of an industrial plant in Grande Prairie, Alberta. The defendant subcontracted portions of the work to others. The plaintiff says that the component, described as the "energy component", so designed, and so constructed, did not work. The plaintiff claims to have suffered damages in the result. The plaintiff sued the defendant. Among other defences, the defendant pleads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It says that if the plaintiff suffered damage, then it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or others". The defendant joined its subcontractors and material suppliers as third parties in the action. The third party Premier Refractories filed a statement of defence to the plaintiff's claim. Premier Refractories also pleads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says the plaintiff contributed to its own damages,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estimate of length of trial exceeding twenty days, the defendant applied for the assignment of a trial judge, by letter dated 7 July 1998. That assignment was made 13 July 1998. Pre-trial procedures are ongoing pursuant to schedules established by orders made during the case management. The trial is currently scheduled, for Vancouver B.C., commencing 19 March 2001 through 30 June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a motion filed 5 July 2000, the plaintiff claimed the following relief:</w:t>
      </w:r>
      <w:r>
        <w:rPr>
          <w:rFonts w:ascii="arial" w:eastAsia="arial" w:hAnsi="arial" w:cs="arial"/>
          <w:sz w:val="20"/>
          <w:lang w:val="en-US" w:eastAsia="en-US" w:bidi="ar-SA"/>
        </w:rPr>
        <w:cr/>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varying the case management order of 12 January 2000;</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adding three of the third parties as party defendants in the action; and</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Orders for the consequential amendment to the style of proceedings and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support the applications. The three third parties affected, oppose 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determinative application is that for an order adding three third parties as party defendants. That application is made pursuant to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cause of action to be pleaded against the third parties Bigelow-Liptak and Thermal Ceramics is that they failed to warn the plaintiff of a risk of harm inherent in the product supplied by Thermal and installed by Bigelow-Liptak.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cause of action against Heatech is that it was negligent in its recommendation on one of the elements in the system; and that it was in breach of a contract to supply one of those elements to the plaintiff.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work was done, and the materials supplied, by the defendant and its sub-trades, during the summer of 1995. The plant went into production in January 1996. It failed in February 1996. The writ of summons initiating this action was issued 15 March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I read the pleadings in this action, the plaintiff's claim initially sounds in contract. There are additional claims in tort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misrepresentation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Throughout the proceedings, to the late spring of 2000, the plaintiff proceeded on the understanding that Thermal, the material supplier, and the installer, Bigelow-Liptak, had warned the defendant of the latent risks attached to a product the defendant had contracted Bigelow-Liptak to supply and install.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Then, in late May 2000, Bigelow-Liptak examined the defendant for discovery. And in mid-July 2000 the defendant examined Bigelow-Liptak. As a result of questions asked and answers given at the former examination, the plaintiff reconsidered the approach it theretofore had adopted on the topic of warnings. It viewed the defendant's position as equivocal with respect to the matter of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Furthermore, in mid-May 2000, the plaintiff obtained an opinion from a professional engineer, addressing an element, or elements, of the energy system supplied by Heatech. In that engineer's opinion, among other things, the element is undersized and incapable of performing the tasks demanded by the plaintiff's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Heretofore, the plaintiff has been reluctant to bring others into this litigation. The industry is a small community, and goodwill is not fostered by engaging one's colleagues in litigious matters.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are agreed that there are three governing principles on an application to add parties to a lawsuit which is extant. Those governing principles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must establish a possible cause of action against the proposed party, or parties;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must establish that statutory requirements have been met;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must establish that it would be just and convenient to allow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third parties prudently acknowledged that the plaintiff had probably met the onus established under the first two principles. I am satisfied that the plaintiff has established possible causes of action against the proposed defendants. I am also satisfied that there are no statutory requirements acting as an impediment to the addition of these parties. There is no limitation period involved on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also satisfied that it would be convenient, in that it would be sensible, to have these parties added to the action. The relief to be sought against these parties, by the plaintiff, is connected to the relief sought against the defendant in the action; and by the defendant against the third parties in the third party proceedings. It would be sensible to dispose of all of the various claims and cross claims arising out of the various transactions at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not satisfied, however, that addition of these third parties as party defendants would be just. I read the third principle as conjunctive. The addition must be both convenient and just. Addition of these third parties as party defendants would be unfair to those third parties at this stage of the proceedings. I come to that conclusion for the following reasons.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claim against the third party Bigelow-Liptak is founded upon a subcontract for the supply and installation of materials. And, upon a request and response on the topic of, what I will call,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claim against the third party Thermal Ceramics is founded upon a request and response on the topic of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claim against the third party Heatech is founded upon a material supply subcontract. And, upon a request and response on the topic of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rights and correlative duties in the third party disputes are characterized within those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Within the context of this litigation as a whole, I think the issues of liability as between the defendant and these third parties, to be narrow, and well defined by the third party pleadings. Or, as Mr. Knutson put it, "discrete".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To convert to these three third parties into party defendants in these proceedings, is to introduce three new causes of action. The probable consequences of that development are unsettling. These parties have been preparing for the defence of a claim limited by the third party proceedings for over two years. If they are added as party defendants, then, commencing the date they are added, they will be compelled to prepare for the trial of a much broader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negative consequences of the addition are exacerbated in the case of Heatech. This is so because Heatech in turn subcontracted the manufacture of the material it was to supply to a corporation in the state of Nebraska. If added, Heatech will apply to add that corporation as a party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Mr. Short has pointed out, only Heatech has explicitly stated that it would not be prepared to proceed to trial in March 2001. I think it implicit, however, in the submissions by the other parties, that the pre-trial activities, necessitated by the introduction of a new cause of action, could not be completed within the seven months remaining to the trial date. I think that if these new causes of action are added, then an application to adjourn that trial date is inevitable; with the probable result that this matter will not proceed in March 2001 as scheduled. I find that an order to add these parties would result in actual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scheduling was fixed pursuant to a Case Management regime. Presumably, the Case Management regime was instituted to promote the orderly and expeditious dispatch of the business of the courts. I think that objective raises certain expectations. And, pursuant to those expectations, resources are allocated and activities undertaken. If a managed schedule is imposed by order, and the parties act in reliance upon it, then a compelling reason must be advanced to depart from that imposed schedule. The plaintiff has not met that onus, in this case, to my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are three other third parties in this litigation not immediately affected by the plaintiff's applications. If I make the order sought, however, I think it inevitable that those three parties will be adversely affected because they will have the resolution of the dispute delayed beyond the date of their reasonable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refusal to add these three new causes of action is not fatal to the plaintiff's claims against those parties. As independent causes of action, they may be pursued by the plaintiff in new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considered Mr. Short's anxiety that separate proceedings carry a risk of contradictory or inconsistent results, or other unintended consequences. On balance, the risk of adverse consequences to the plaintiff, is outweighed by the actual prejudice to these third parties. In result, the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7" style="position:absolute;z-index:2518876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Drucker, Inc. v. Gui, [2009] B.C.J. No. 808</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Edwards v. BMO Nesbitt Burns Inc., [2010] B.C.J. No. 1568</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Erickson v. Webber, [2005] B.C.J. No. 1700</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Ewert v. Marshall, [2007] B.C.J. No. 1552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Extra Gift Exchange Inc. v. Ernest &amp; Twins Ventures (PP) Ltd., [2007] B.C.J. No. 636</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Fiessel v. Fiessel, [2006] B.C.J. No. 1686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Fitzen v. Savoy, [2003] B.C.J. No. 1265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Foglia v. Edwards, [2007] B.C.J. No. 1301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Furlan v. Shell Oil Co., [2002] B.C.J. No. 2549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Gallagher v. Olsson, [2001] B.C.J. No. 1340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Bassi, [2014] B.C.J. No. 2603</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Hancott v. Barnes, [2015] B.C.J. No. 1612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v. Gill, [2019] B.C.J. No. 1839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J.P. v. British Columbia (Director of Child, Family and Community Services), [2013] B.C.J. No. 604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Kaigo Retirement Communities Ltd. v. Sawchuk Developments Co., [2014] B.C.J. No. 2450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McCartney v. McArthur, [2014] B.C.J. No. 2846</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McCreight v. Currie, [2007] B.C.J. No. 152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McQuillan v. Vancouver (City), [2008] B.C.J. No. 761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Merritt v. Canada (Attorney General), [2013] B.C.J. No. 385</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Emil Anderson Maintenance Co., [2013] B.C.J. No. 2749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 v. Morris, [2009] B.C.J. No. 2280</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Nabholtz v. Kimberley (City), [2002] B.C.J. No. 261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Naidu v. Mann, [2007] B.C.J. No. 1916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Nayyar v. Manufacturers Life Insurance Co. (c.o.b. Manulife Financial), [2010] B.C.J. No. 2200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Niedzialkowski v. Barnett, [2002] B.C.J. No. 1138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Penland v. Lofting, [2008] B.C.J. No. 713</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P.S. v. Miki, [2005] B.C.J. No. 654</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Roe McNeill &amp; Co. v. McNeill, [2011] B.C.J. No. 1623</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Ross v. Vernon (City), [2009] B.C.J. No. 2001</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Shelton-Johnson v. Delta School District No. 37, [2011] B.C.J. No. 2154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Towns, [2005] B.C.J. No. 100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Surespan Structures Ltd. v. Lloyd's Underwriters, [2018] B.C.J. No. 1251</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Tang v. Rodgers, [2011] B.C.J. No. 144</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Webster v. Ernst &amp; Young, [2001] B.C.J. No. 1216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 (Litigation guardian of) v. B.C. Conference of the Mennonite Church Brethren, [2010] I.L.R. para. I-5005</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Spittal, [2018] B.C.J. No. 3415</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Petrovic v. Stetsko, [2017] B.C.J. No. 848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Anhalt v. Flowers, [2013] B.C.J. No. 1682</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 Financial Ltd. v. Gee Force Logistics Inc., [2020] B.C.J. No. 21</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Erickson v. Saifi, [2019] B.C.J. No. 1285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Haftbaradaran v. St. Hubertus Estate Winery Ltd., [2011] B.C.J. No. 1983</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Robinson v. MacDougall, [2006] B.C.J. No. 3251</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Scott v. Canada (Attorney General), [2013] B.C.J. No. 1973</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WeGo Kayaking Ltd. v. Sewid, [2007] B.C.J. No. 56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Culver v. Skrypnyk, [2019] B.C.J. No. 912</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Yamagata v. The Owners, Strata Plan NW 1546, 2019 BREG para. 50,998</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 Welfare International Inc. v. W3 International Media Ltd., [2014] B.C.J. No. 2442</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445001 B.C. Ltd. v. Derby Reach Holdings Ltd., [2001] B.C.J. No. 2290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Accredit Mortgage Ltd. v. Cook Roberts LLP, [2017] B.C.J. No. 1248</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Ainsworth Lumber Co. v. KMW Energy Inc., [2000] B.C.J. No. 1955</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3"/>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V)"/>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V)"/>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0"/>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h)"/>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j)"/>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2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2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2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2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3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3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3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3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3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2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2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5"/>
      <w:numFmt w:val="decimal"/>
      <w:lvlText w:val=" %1)"/>
      <w:lvlJc w:val="left"/>
      <w:pPr>
        <w:tabs>
          <w:tab w:val="num" w:pos="1120"/>
        </w:tabs>
        <w:ind w:left="112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3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4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3"/>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4"/>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5"/>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6"/>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c )"/>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3"/>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4"/>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5"/>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6"/>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7"/>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8"/>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9"/>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10."/>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1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1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13."/>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14."/>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3BB00C1"/>
    <w:multiLevelType w:val="multilevel"/>
    <w:tmpl w:val="00000001"/>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78282E0"/>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865013F"/>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10C1029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11485B8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16C533AC"/>
    <w:multiLevelType w:val="multilevel"/>
    <w:tmpl w:val="00000001"/>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1A784F6C"/>
    <w:multiLevelType w:val="multilevel"/>
    <w:tmpl w:val="00000001"/>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20DF068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216B680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240DE93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2A5C6B9C"/>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2A90D565"/>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2ACFB5C8"/>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2AF2DD16"/>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2DE8DCDD"/>
    <w:multiLevelType w:val="multilevel"/>
    <w:tmpl w:val="0000000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2F95457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300A2AA4"/>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34B2D357"/>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38E6CBE0"/>
    <w:multiLevelType w:val="multilevel"/>
    <w:tmpl w:val="00000001"/>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39CCF440"/>
    <w:multiLevelType w:val="multilevel"/>
    <w:tmpl w:val="00000001"/>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3DD1969C"/>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3FA28186"/>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40FDDDB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473B931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497D0E4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4A513361"/>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4DB1D02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4DFE5DF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555C5D1E"/>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587ED4D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593B463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5AD4789C"/>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6283A764"/>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6B5A2D14"/>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6D59743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1E62AC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74986F45"/>
    <w:multiLevelType w:val="multilevel"/>
    <w:tmpl w:val="00000001"/>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7A58D70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7CAC86E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7D673043"/>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186"/>
  </w:num>
  <w:num w:numId="6">
    <w:abstractNumId w:val="4"/>
  </w:num>
  <w:num w:numId="7">
    <w:abstractNumId w:val="5"/>
  </w:num>
  <w:num w:numId="8">
    <w:abstractNumId w:val="6"/>
  </w:num>
  <w:num w:numId="9">
    <w:abstractNumId w:val="7"/>
  </w:num>
  <w:num w:numId="10">
    <w:abstractNumId w:val="187"/>
  </w:num>
  <w:num w:numId="11">
    <w:abstractNumId w:val="8"/>
  </w:num>
  <w:num w:numId="12">
    <w:abstractNumId w:val="9"/>
  </w:num>
  <w:num w:numId="13">
    <w:abstractNumId w:val="10"/>
  </w:num>
  <w:num w:numId="14">
    <w:abstractNumId w:val="11"/>
  </w:num>
  <w:num w:numId="15">
    <w:abstractNumId w:val="12"/>
  </w:num>
  <w:num w:numId="16">
    <w:abstractNumId w:val="209"/>
  </w:num>
  <w:num w:numId="17">
    <w:abstractNumId w:val="212"/>
  </w:num>
  <w:num w:numId="18">
    <w:abstractNumId w:val="13"/>
  </w:num>
  <w:num w:numId="19">
    <w:abstractNumId w:val="14"/>
  </w:num>
  <w:num w:numId="20">
    <w:abstractNumId w:val="216"/>
  </w:num>
  <w:num w:numId="21">
    <w:abstractNumId w:val="193"/>
  </w:num>
  <w:num w:numId="22">
    <w:abstractNumId w:val="215"/>
  </w:num>
  <w:num w:numId="23">
    <w:abstractNumId w:val="198"/>
  </w:num>
  <w:num w:numId="24">
    <w:abstractNumId w:val="15"/>
  </w:num>
  <w:num w:numId="25">
    <w:abstractNumId w:val="16"/>
  </w:num>
  <w:num w:numId="26">
    <w:abstractNumId w:val="17"/>
  </w:num>
  <w:num w:numId="27">
    <w:abstractNumId w:val="18"/>
  </w:num>
  <w:num w:numId="28">
    <w:abstractNumId w:val="19"/>
  </w:num>
  <w:num w:numId="29">
    <w:abstractNumId w:val="206"/>
  </w:num>
  <w:num w:numId="30">
    <w:abstractNumId w:val="20"/>
  </w:num>
  <w:num w:numId="31">
    <w:abstractNumId w:val="21"/>
  </w:num>
  <w:num w:numId="32">
    <w:abstractNumId w:val="22"/>
  </w:num>
  <w:num w:numId="33">
    <w:abstractNumId w:val="23"/>
  </w:num>
  <w:num w:numId="34">
    <w:abstractNumId w:val="24"/>
  </w:num>
  <w:num w:numId="35">
    <w:abstractNumId w:val="25"/>
  </w:num>
  <w:num w:numId="36">
    <w:abstractNumId w:val="26"/>
  </w:num>
  <w:num w:numId="37">
    <w:abstractNumId w:val="27"/>
  </w:num>
  <w:num w:numId="38">
    <w:abstractNumId w:val="28"/>
  </w:num>
  <w:num w:numId="39">
    <w:abstractNumId w:val="29"/>
  </w:num>
  <w:num w:numId="40">
    <w:abstractNumId w:val="30"/>
  </w:num>
  <w:num w:numId="41">
    <w:abstractNumId w:val="31"/>
  </w:num>
  <w:num w:numId="42">
    <w:abstractNumId w:val="32"/>
  </w:num>
  <w:num w:numId="43">
    <w:abstractNumId w:val="33"/>
  </w:num>
  <w:num w:numId="44">
    <w:abstractNumId w:val="34"/>
  </w:num>
  <w:num w:numId="45">
    <w:abstractNumId w:val="35"/>
  </w:num>
  <w:num w:numId="46">
    <w:abstractNumId w:val="213"/>
  </w:num>
  <w:num w:numId="47">
    <w:abstractNumId w:val="190"/>
  </w:num>
  <w:num w:numId="48">
    <w:abstractNumId w:val="194"/>
  </w:num>
  <w:num w:numId="49">
    <w:abstractNumId w:val="207"/>
  </w:num>
  <w:num w:numId="50">
    <w:abstractNumId w:val="189"/>
  </w:num>
  <w:num w:numId="51">
    <w:abstractNumId w:val="218"/>
  </w:num>
  <w:num w:numId="52">
    <w:abstractNumId w:val="217"/>
  </w:num>
  <w:num w:numId="53">
    <w:abstractNumId w:val="205"/>
  </w:num>
  <w:num w:numId="54">
    <w:abstractNumId w:val="192"/>
  </w:num>
  <w:num w:numId="55">
    <w:abstractNumId w:val="201"/>
  </w:num>
  <w:num w:numId="56">
    <w:abstractNumId w:val="36"/>
  </w:num>
  <w:num w:numId="57">
    <w:abstractNumId w:val="37"/>
  </w:num>
  <w:num w:numId="58">
    <w:abstractNumId w:val="38"/>
  </w:num>
  <w:num w:numId="59">
    <w:abstractNumId w:val="39"/>
  </w:num>
  <w:num w:numId="60">
    <w:abstractNumId w:val="200"/>
  </w:num>
  <w:num w:numId="61">
    <w:abstractNumId w:val="188"/>
  </w:num>
  <w:num w:numId="62">
    <w:abstractNumId w:val="204"/>
  </w:num>
  <w:num w:numId="63">
    <w:abstractNumId w:val="185"/>
  </w:num>
  <w:num w:numId="64">
    <w:abstractNumId w:val="222"/>
  </w:num>
  <w:num w:numId="65">
    <w:abstractNumId w:val="220"/>
  </w:num>
  <w:num w:numId="66">
    <w:abstractNumId w:val="221"/>
  </w:num>
  <w:num w:numId="67">
    <w:abstractNumId w:val="208"/>
  </w:num>
  <w:num w:numId="68">
    <w:abstractNumId w:val="203"/>
  </w:num>
  <w:num w:numId="69">
    <w:abstractNumId w:val="40"/>
  </w:num>
  <w:num w:numId="70">
    <w:abstractNumId w:val="41"/>
  </w:num>
  <w:num w:numId="71">
    <w:abstractNumId w:val="42"/>
  </w:num>
  <w:num w:numId="72">
    <w:abstractNumId w:val="43"/>
  </w:num>
  <w:num w:numId="73">
    <w:abstractNumId w:val="44"/>
  </w:num>
  <w:num w:numId="74">
    <w:abstractNumId w:val="45"/>
  </w:num>
  <w:num w:numId="75">
    <w:abstractNumId w:val="46"/>
  </w:num>
  <w:num w:numId="76">
    <w:abstractNumId w:val="47"/>
  </w:num>
  <w:num w:numId="77">
    <w:abstractNumId w:val="48"/>
  </w:num>
  <w:num w:numId="78">
    <w:abstractNumId w:val="49"/>
  </w:num>
  <w:num w:numId="79">
    <w:abstractNumId w:val="50"/>
  </w:num>
  <w:num w:numId="80">
    <w:abstractNumId w:val="51"/>
  </w:num>
  <w:num w:numId="81">
    <w:abstractNumId w:val="52"/>
  </w:num>
  <w:num w:numId="82">
    <w:abstractNumId w:val="53"/>
  </w:num>
  <w:num w:numId="83">
    <w:abstractNumId w:val="54"/>
  </w:num>
  <w:num w:numId="84">
    <w:abstractNumId w:val="55"/>
  </w:num>
  <w:num w:numId="85">
    <w:abstractNumId w:val="56"/>
  </w:num>
  <w:num w:numId="86">
    <w:abstractNumId w:val="57"/>
  </w:num>
  <w:num w:numId="87">
    <w:abstractNumId w:val="58"/>
  </w:num>
  <w:num w:numId="88">
    <w:abstractNumId w:val="59"/>
  </w:num>
  <w:num w:numId="89">
    <w:abstractNumId w:val="60"/>
  </w:num>
  <w:num w:numId="90">
    <w:abstractNumId w:val="61"/>
  </w:num>
  <w:num w:numId="91">
    <w:abstractNumId w:val="62"/>
  </w:num>
  <w:num w:numId="92">
    <w:abstractNumId w:val="63"/>
  </w:num>
  <w:num w:numId="93">
    <w:abstractNumId w:val="64"/>
  </w:num>
  <w:num w:numId="94">
    <w:abstractNumId w:val="65"/>
  </w:num>
  <w:num w:numId="95">
    <w:abstractNumId w:val="66"/>
  </w:num>
  <w:num w:numId="96">
    <w:abstractNumId w:val="67"/>
  </w:num>
  <w:num w:numId="97">
    <w:abstractNumId w:val="68"/>
  </w:num>
  <w:num w:numId="98">
    <w:abstractNumId w:val="69"/>
  </w:num>
  <w:num w:numId="99">
    <w:abstractNumId w:val="70"/>
  </w:num>
  <w:num w:numId="100">
    <w:abstractNumId w:val="71"/>
  </w:num>
  <w:num w:numId="101">
    <w:abstractNumId w:val="72"/>
  </w:num>
  <w:num w:numId="102">
    <w:abstractNumId w:val="73"/>
  </w:num>
  <w:num w:numId="103">
    <w:abstractNumId w:val="74"/>
  </w:num>
  <w:num w:numId="104">
    <w:abstractNumId w:val="75"/>
  </w:num>
  <w:num w:numId="105">
    <w:abstractNumId w:val="76"/>
  </w:num>
  <w:num w:numId="106">
    <w:abstractNumId w:val="77"/>
  </w:num>
  <w:num w:numId="107">
    <w:abstractNumId w:val="78"/>
  </w:num>
  <w:num w:numId="108">
    <w:abstractNumId w:val="79"/>
  </w:num>
  <w:num w:numId="109">
    <w:abstractNumId w:val="80"/>
  </w:num>
  <w:num w:numId="110">
    <w:abstractNumId w:val="81"/>
  </w:num>
  <w:num w:numId="111">
    <w:abstractNumId w:val="82"/>
  </w:num>
  <w:num w:numId="112">
    <w:abstractNumId w:val="83"/>
  </w:num>
  <w:num w:numId="113">
    <w:abstractNumId w:val="84"/>
  </w:num>
  <w:num w:numId="114">
    <w:abstractNumId w:val="85"/>
  </w:num>
  <w:num w:numId="115">
    <w:abstractNumId w:val="86"/>
  </w:num>
  <w:num w:numId="116">
    <w:abstractNumId w:val="87"/>
  </w:num>
  <w:num w:numId="117">
    <w:abstractNumId w:val="88"/>
  </w:num>
  <w:num w:numId="118">
    <w:abstractNumId w:val="89"/>
  </w:num>
  <w:num w:numId="119">
    <w:abstractNumId w:val="90"/>
  </w:num>
  <w:num w:numId="120">
    <w:abstractNumId w:val="91"/>
  </w:num>
  <w:num w:numId="121">
    <w:abstractNumId w:val="92"/>
  </w:num>
  <w:num w:numId="122">
    <w:abstractNumId w:val="93"/>
  </w:num>
  <w:num w:numId="123">
    <w:abstractNumId w:val="94"/>
  </w:num>
  <w:num w:numId="124">
    <w:abstractNumId w:val="95"/>
  </w:num>
  <w:num w:numId="125">
    <w:abstractNumId w:val="96"/>
  </w:num>
  <w:num w:numId="126">
    <w:abstractNumId w:val="97"/>
  </w:num>
  <w:num w:numId="127">
    <w:abstractNumId w:val="219"/>
  </w:num>
  <w:num w:numId="128">
    <w:abstractNumId w:val="191"/>
  </w:num>
  <w:num w:numId="129">
    <w:abstractNumId w:val="223"/>
  </w:num>
  <w:num w:numId="130">
    <w:abstractNumId w:val="195"/>
  </w:num>
  <w:num w:numId="131">
    <w:abstractNumId w:val="214"/>
  </w:num>
  <w:num w:numId="132">
    <w:abstractNumId w:val="224"/>
  </w:num>
  <w:num w:numId="133">
    <w:abstractNumId w:val="210"/>
  </w:num>
  <w:num w:numId="134">
    <w:abstractNumId w:val="98"/>
  </w:num>
  <w:num w:numId="135">
    <w:abstractNumId w:val="197"/>
  </w:num>
  <w:num w:numId="136">
    <w:abstractNumId w:val="196"/>
  </w:num>
  <w:num w:numId="137">
    <w:abstractNumId w:val="99"/>
  </w:num>
  <w:num w:numId="138">
    <w:abstractNumId w:val="100"/>
  </w:num>
  <w:num w:numId="139">
    <w:abstractNumId w:val="101"/>
  </w:num>
  <w:num w:numId="140">
    <w:abstractNumId w:val="102"/>
  </w:num>
  <w:num w:numId="141">
    <w:abstractNumId w:val="103"/>
  </w:num>
  <w:num w:numId="142">
    <w:abstractNumId w:val="104"/>
  </w:num>
  <w:num w:numId="143">
    <w:abstractNumId w:val="105"/>
  </w:num>
  <w:num w:numId="144">
    <w:abstractNumId w:val="106"/>
  </w:num>
  <w:num w:numId="145">
    <w:abstractNumId w:val="107"/>
  </w:num>
  <w:num w:numId="146">
    <w:abstractNumId w:val="108"/>
  </w:num>
  <w:num w:numId="147">
    <w:abstractNumId w:val="109"/>
  </w:num>
  <w:num w:numId="148">
    <w:abstractNumId w:val="110"/>
  </w:num>
  <w:num w:numId="149">
    <w:abstractNumId w:val="111"/>
  </w:num>
  <w:num w:numId="150">
    <w:abstractNumId w:val="112"/>
  </w:num>
  <w:num w:numId="151">
    <w:abstractNumId w:val="113"/>
  </w:num>
  <w:num w:numId="152">
    <w:abstractNumId w:val="114"/>
  </w:num>
  <w:num w:numId="153">
    <w:abstractNumId w:val="115"/>
  </w:num>
  <w:num w:numId="154">
    <w:abstractNumId w:val="116"/>
  </w:num>
  <w:num w:numId="155">
    <w:abstractNumId w:val="117"/>
  </w:num>
  <w:num w:numId="156">
    <w:abstractNumId w:val="118"/>
  </w:num>
  <w:num w:numId="157">
    <w:abstractNumId w:val="119"/>
  </w:num>
  <w:num w:numId="158">
    <w:abstractNumId w:val="120"/>
  </w:num>
  <w:num w:numId="159">
    <w:abstractNumId w:val="121"/>
  </w:num>
  <w:num w:numId="160">
    <w:abstractNumId w:val="122"/>
  </w:num>
  <w:num w:numId="161">
    <w:abstractNumId w:val="123"/>
  </w:num>
  <w:num w:numId="162">
    <w:abstractNumId w:val="124"/>
  </w:num>
  <w:num w:numId="163">
    <w:abstractNumId w:val="125"/>
  </w:num>
  <w:num w:numId="164">
    <w:abstractNumId w:val="126"/>
  </w:num>
  <w:num w:numId="165">
    <w:abstractNumId w:val="127"/>
  </w:num>
  <w:num w:numId="166">
    <w:abstractNumId w:val="128"/>
  </w:num>
  <w:num w:numId="167">
    <w:abstractNumId w:val="129"/>
  </w:num>
  <w:num w:numId="168">
    <w:abstractNumId w:val="130"/>
  </w:num>
  <w:num w:numId="169">
    <w:abstractNumId w:val="131"/>
  </w:num>
  <w:num w:numId="170">
    <w:abstractNumId w:val="132"/>
  </w:num>
  <w:num w:numId="171">
    <w:abstractNumId w:val="133"/>
  </w:num>
  <w:num w:numId="172">
    <w:abstractNumId w:val="134"/>
  </w:num>
  <w:num w:numId="173">
    <w:abstractNumId w:val="135"/>
  </w:num>
  <w:num w:numId="174">
    <w:abstractNumId w:val="136"/>
  </w:num>
  <w:num w:numId="175">
    <w:abstractNumId w:val="137"/>
  </w:num>
  <w:num w:numId="176">
    <w:abstractNumId w:val="138"/>
  </w:num>
  <w:num w:numId="177">
    <w:abstractNumId w:val="139"/>
  </w:num>
  <w:num w:numId="178">
    <w:abstractNumId w:val="140"/>
  </w:num>
  <w:num w:numId="179">
    <w:abstractNumId w:val="141"/>
  </w:num>
  <w:num w:numId="180">
    <w:abstractNumId w:val="142"/>
  </w:num>
  <w:num w:numId="181">
    <w:abstractNumId w:val="143"/>
  </w:num>
  <w:num w:numId="182">
    <w:abstractNumId w:val="144"/>
  </w:num>
  <w:num w:numId="183">
    <w:abstractNumId w:val="145"/>
  </w:num>
  <w:num w:numId="184">
    <w:abstractNumId w:val="146"/>
  </w:num>
  <w:num w:numId="185">
    <w:abstractNumId w:val="147"/>
  </w:num>
  <w:num w:numId="186">
    <w:abstractNumId w:val="148"/>
  </w:num>
  <w:num w:numId="187">
    <w:abstractNumId w:val="149"/>
  </w:num>
  <w:num w:numId="188">
    <w:abstractNumId w:val="150"/>
  </w:num>
  <w:num w:numId="189">
    <w:abstractNumId w:val="151"/>
  </w:num>
  <w:num w:numId="190">
    <w:abstractNumId w:val="152"/>
  </w:num>
  <w:num w:numId="191">
    <w:abstractNumId w:val="153"/>
  </w:num>
  <w:num w:numId="192">
    <w:abstractNumId w:val="154"/>
  </w:num>
  <w:num w:numId="193">
    <w:abstractNumId w:val="155"/>
  </w:num>
  <w:num w:numId="194">
    <w:abstractNumId w:val="156"/>
  </w:num>
  <w:num w:numId="195">
    <w:abstractNumId w:val="157"/>
  </w:num>
  <w:num w:numId="196">
    <w:abstractNumId w:val="158"/>
  </w:num>
  <w:num w:numId="197">
    <w:abstractNumId w:val="159"/>
  </w:num>
  <w:num w:numId="198">
    <w:abstractNumId w:val="160"/>
  </w:num>
  <w:num w:numId="199">
    <w:abstractNumId w:val="161"/>
  </w:num>
  <w:num w:numId="200">
    <w:abstractNumId w:val="162"/>
  </w:num>
  <w:num w:numId="201">
    <w:abstractNumId w:val="163"/>
  </w:num>
  <w:num w:numId="202">
    <w:abstractNumId w:val="164"/>
  </w:num>
  <w:num w:numId="203">
    <w:abstractNumId w:val="165"/>
  </w:num>
  <w:num w:numId="204">
    <w:abstractNumId w:val="166"/>
  </w:num>
  <w:num w:numId="205">
    <w:abstractNumId w:val="167"/>
  </w:num>
  <w:num w:numId="206">
    <w:abstractNumId w:val="168"/>
  </w:num>
  <w:num w:numId="207">
    <w:abstractNumId w:val="169"/>
  </w:num>
  <w:num w:numId="208">
    <w:abstractNumId w:val="170"/>
  </w:num>
  <w:num w:numId="209">
    <w:abstractNumId w:val="171"/>
  </w:num>
  <w:num w:numId="210">
    <w:abstractNumId w:val="172"/>
  </w:num>
  <w:num w:numId="211">
    <w:abstractNumId w:val="173"/>
  </w:num>
  <w:num w:numId="212">
    <w:abstractNumId w:val="174"/>
  </w:num>
  <w:num w:numId="213">
    <w:abstractNumId w:val="175"/>
  </w:num>
  <w:num w:numId="214">
    <w:abstractNumId w:val="176"/>
  </w:num>
  <w:num w:numId="215">
    <w:abstractNumId w:val="177"/>
  </w:num>
  <w:num w:numId="216">
    <w:abstractNumId w:val="178"/>
  </w:num>
  <w:num w:numId="217">
    <w:abstractNumId w:val="179"/>
  </w:num>
  <w:num w:numId="218">
    <w:abstractNumId w:val="180"/>
  </w:num>
  <w:num w:numId="219">
    <w:abstractNumId w:val="181"/>
  </w:num>
  <w:num w:numId="220">
    <w:abstractNumId w:val="182"/>
  </w:num>
  <w:num w:numId="221">
    <w:abstractNumId w:val="183"/>
  </w:num>
  <w:num w:numId="222">
    <w:abstractNumId w:val="184"/>
  </w:num>
  <w:num w:numId="223">
    <w:abstractNumId w:val="199"/>
  </w:num>
  <w:num w:numId="224">
    <w:abstractNumId w:val="211"/>
  </w:num>
  <w:num w:numId="225">
    <w:abstractNumId w:val="20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J1-JNS1-M24M-00000-00&amp;context=" TargetMode="External" /><Relationship Id="rId100" Type="http://schemas.openxmlformats.org/officeDocument/2006/relationships/footer" Target="footer22.xml" /><Relationship Id="rId1000" Type="http://schemas.openxmlformats.org/officeDocument/2006/relationships/hyperlink" Target="https://advance.lexis.com/api/document?collection=cases-ca&amp;id=urn:contentItem:5F7T-S771-JJD0-G15R-00000-00&amp;context=" TargetMode="External" /><Relationship Id="rId1001" Type="http://schemas.openxmlformats.org/officeDocument/2006/relationships/hyperlink" Target="https://advance.lexis.com/api/document?collection=cases-ca&amp;id=urn:contentItem:5F7T-S7M1-DYMS-623K-00000-00&amp;context=" TargetMode="External" /><Relationship Id="rId1002" Type="http://schemas.openxmlformats.org/officeDocument/2006/relationships/hyperlink" Target="https://advance.lexis.com/api/document?collection=cases-ca&amp;id=urn:contentItem:5F7T-S6W1-FBFS-S11P-00000-00&amp;context=" TargetMode="External" /><Relationship Id="rId1003" Type="http://schemas.openxmlformats.org/officeDocument/2006/relationships/hyperlink" Target="https://advance.lexis.com/api/document?collection=cases-ca&amp;id=urn:contentItem:5F8T-N3V1-JTGH-B10K-00000-00&amp;context=" TargetMode="External" /><Relationship Id="rId1004" Type="http://schemas.openxmlformats.org/officeDocument/2006/relationships/hyperlink" Target="https://advance.lexis.com/api/document?collection=cases-ca&amp;id=urn:contentItem:5F7T-S6V1-F956-S0K4-00000-00&amp;context=" TargetMode="External" /><Relationship Id="rId1005" Type="http://schemas.openxmlformats.org/officeDocument/2006/relationships/hyperlink" Target="https://advance.lexis.com/api/document?collection=cases-ca&amp;id=urn:contentItem:5F7T-S6W1-F5T5-M1S5-00000-00&amp;context=" TargetMode="External" /><Relationship Id="rId1006" Type="http://schemas.openxmlformats.org/officeDocument/2006/relationships/hyperlink" Target="https://advance.lexis.com/api/document?collection=cases-ca&amp;id=urn:contentItem:5F7T-S6W1-JXNB-62BF-00000-00&amp;context=" TargetMode="External" /><Relationship Id="rId1007" Type="http://schemas.openxmlformats.org/officeDocument/2006/relationships/hyperlink" Target="https://advance.lexis.com/api/document?collection=cases-ca&amp;id=urn:contentItem:5F7F-5RH1-JFSV-G059-00000-00&amp;context=" TargetMode="External" /><Relationship Id="rId1008" Type="http://schemas.openxmlformats.org/officeDocument/2006/relationships/hyperlink" Target="https://advance.lexis.com/api/document?collection=legislation-ca&amp;id=urn:contentItem:5F3B-BC71-FCYK-20F4-00000-00&amp;context=" TargetMode="External" /><Relationship Id="rId1009" Type="http://schemas.openxmlformats.org/officeDocument/2006/relationships/hyperlink" Target="https://advance.lexis.com/api/document?collection=legislation-ca&amp;id=urn:contentItem:5VYK-W9W1-FBFS-S4XW-00000-00&amp;context=" TargetMode="External" /><Relationship Id="rId101" Type="http://schemas.openxmlformats.org/officeDocument/2006/relationships/footer" Target="footer23.xml" /><Relationship Id="rId1010" Type="http://schemas.openxmlformats.org/officeDocument/2006/relationships/hyperlink" Target="https://advance.lexis.com/api/document?collection=cases-ca&amp;id=urn:contentItem:5F7F-5RH1-JTGH-B0BG-00000-00&amp;context=" TargetMode="External" /><Relationship Id="rId1011" Type="http://schemas.openxmlformats.org/officeDocument/2006/relationships/hyperlink" Target="https://advance.lexis.com/api/document?collection=cases-ca&amp;id=urn:contentItem:5F8W-M4C1-JKB3-X3CH-00000-00&amp;context=" TargetMode="External" /><Relationship Id="rId1012" Type="http://schemas.openxmlformats.org/officeDocument/2006/relationships/hyperlink" Target="https://advance.lexis.com/api/document?collection=cases-ca&amp;id=urn:contentItem:5F7T-S7H1-JFSV-G30S-00000-00&amp;context=" TargetMode="External" /><Relationship Id="rId1013" Type="http://schemas.openxmlformats.org/officeDocument/2006/relationships/hyperlink" Target="https://advance.lexis.com/api/document?collection=legislation-ca&amp;id=urn:contentItem:5VYK-W9Y1-F2F4-G3VM-00000-00&amp;context=" TargetMode="External" /><Relationship Id="rId1014" Type="http://schemas.openxmlformats.org/officeDocument/2006/relationships/hyperlink" Target="https://advance.lexis.com/api/document?collection=cases-ca&amp;id=urn:contentItem:5F8W-M4C1-JGBH-B1HG-00000-00&amp;context=" TargetMode="External" /><Relationship Id="rId1015" Type="http://schemas.openxmlformats.org/officeDocument/2006/relationships/hyperlink" Target="https://advance.lexis.com/api/document?collection=cases-ca&amp;id=urn:contentItem:5F7F-5RH1-FJM6-6077-00000-00&amp;context=" TargetMode="External" /><Relationship Id="rId1016" Type="http://schemas.openxmlformats.org/officeDocument/2006/relationships/hyperlink" Target="https://advance.lexis.com/api/document?collection=cases-ca&amp;id=urn:contentItem:5F7F-5RH1-JTGH-B0HB-00000-00&amp;context=" TargetMode="External" /><Relationship Id="rId1017" Type="http://schemas.openxmlformats.org/officeDocument/2006/relationships/hyperlink" Target="https://advance.lexis.com/api/document?collection=cases-ca&amp;id=urn:contentItem:5F8T-N3V1-JTGH-B15B-00000-00&amp;context=" TargetMode="External" /><Relationship Id="rId1018" Type="http://schemas.openxmlformats.org/officeDocument/2006/relationships/hyperlink" Target="https://advance.lexis.com/api/document?collection=cases-ca&amp;id=urn:contentItem:5F7F-5RH1-FJM6-6042-00000-00&amp;context=" TargetMode="External" /><Relationship Id="rId1019" Type="http://schemas.openxmlformats.org/officeDocument/2006/relationships/hyperlink" Target="https://advance.lexis.com/api/document?collection=cases-ca&amp;id=urn:contentItem:5F81-VJW1-FGY5-M2MR-00000-00&amp;context=" TargetMode="External" /><Relationship Id="rId102" Type="http://schemas.openxmlformats.org/officeDocument/2006/relationships/header" Target="header24.xml" /><Relationship Id="rId1020" Type="http://schemas.openxmlformats.org/officeDocument/2006/relationships/hyperlink" Target="https://advance.lexis.com/api/document?collection=cases-ca&amp;id=urn:contentItem:5F7T-S6S1-JNY7-X276-00000-00&amp;context=" TargetMode="External" /><Relationship Id="rId1021" Type="http://schemas.openxmlformats.org/officeDocument/2006/relationships/hyperlink" Target="https://advance.lexis.com/api/document?collection=cases-ca&amp;id=urn:contentItem:5F8T-N3V1-FH4C-X1X2-00000-00&amp;context=" TargetMode="External" /><Relationship Id="rId1022" Type="http://schemas.openxmlformats.org/officeDocument/2006/relationships/hyperlink" Target="https://advance.lexis.com/api/document?collection=cases-ca&amp;id=urn:contentItem:5FB6-14D1-JN6B-S1RR-00000-00&amp;context=" TargetMode="External" /><Relationship Id="rId1023" Type="http://schemas.openxmlformats.org/officeDocument/2006/relationships/hyperlink" Target="https://advance.lexis.com/api/document?collection=cases-ca&amp;id=urn:contentItem:5F8T-N3V1-JTGH-B16W-00000-00&amp;context=" TargetMode="External" /><Relationship Id="rId1024" Type="http://schemas.openxmlformats.org/officeDocument/2006/relationships/hyperlink" Target="https://advance.lexis.com/api/document?collection=cases-ca&amp;id=urn:contentItem:5F7D-YK91-JTNR-M0V9-00000-00&amp;context=" TargetMode="External" /><Relationship Id="rId1025" Type="http://schemas.openxmlformats.org/officeDocument/2006/relationships/hyperlink" Target="https://advance.lexis.com/api/document?collection=cases-ca&amp;id=urn:contentItem:5F7D-YKB1-JB2B-S0MF-00000-00&amp;context=" TargetMode="External" /><Relationship Id="rId1026" Type="http://schemas.openxmlformats.org/officeDocument/2006/relationships/hyperlink" Target="https://advance.lexis.com/api/document?collection=cases-ca&amp;id=urn:contentItem:5F8T-N3V1-JFKM-608K-00000-00&amp;context=" TargetMode="External" /><Relationship Id="rId1027" Type="http://schemas.openxmlformats.org/officeDocument/2006/relationships/hyperlink" Target="https://advance.lexis.com/api/document?collection=cases-ca&amp;id=urn:contentItem:5F7T-S6W1-F8SS-62Y4-00000-00&amp;context=" TargetMode="External" /><Relationship Id="rId1028" Type="http://schemas.openxmlformats.org/officeDocument/2006/relationships/hyperlink" Target="https://advance.lexis.com/api/document?collection=cases-ca&amp;id=urn:contentItem:5F7T-S6V1-F956-S0FT-00000-00&amp;context=" TargetMode="External" /><Relationship Id="rId1029" Type="http://schemas.openxmlformats.org/officeDocument/2006/relationships/hyperlink" Target="https://advance.lexis.com/api/document?collection=cases-ca&amp;id=urn:contentItem:5F8T-N3V1-JTGH-B16X-00000-00&amp;context=" TargetMode="External" /><Relationship Id="rId103" Type="http://schemas.openxmlformats.org/officeDocument/2006/relationships/footer" Target="footer24.xml" /><Relationship Id="rId1030" Type="http://schemas.openxmlformats.org/officeDocument/2006/relationships/hyperlink" Target="https://advance.lexis.com/api/document?collection=cases-ca&amp;id=urn:contentItem:5F7T-S7M1-JCRC-B1KD-00000-00&amp;context=" TargetMode="External" /><Relationship Id="rId1031" Type="http://schemas.openxmlformats.org/officeDocument/2006/relationships/hyperlink" Target="https://advance.lexis.com/api/document?collection=cases-ca&amp;id=urn:contentItem:5F7T-S7D1-F7ND-G0C0-00000-00&amp;context=" TargetMode="External" /><Relationship Id="rId1032" Type="http://schemas.openxmlformats.org/officeDocument/2006/relationships/hyperlink" Target="https://advance.lexis.com/api/document?collection=cases-ca&amp;id=urn:contentItem:5F8T-N3T1-JGHR-M27Y-00000-00&amp;context=" TargetMode="External" /><Relationship Id="rId1033" Type="http://schemas.openxmlformats.org/officeDocument/2006/relationships/hyperlink" Target="https://advance.lexis.com/api/document?collection=cases-ca&amp;id=urn:contentItem:5F7T-S7G1-JX3N-B2BK-00000-00&amp;context=" TargetMode="External" /><Relationship Id="rId1034" Type="http://schemas.openxmlformats.org/officeDocument/2006/relationships/image" Target="media/image11.png" /><Relationship Id="rId1035" Type="http://schemas.openxmlformats.org/officeDocument/2006/relationships/image" Target="media/image12.jpeg" /><Relationship Id="rId1036" Type="http://schemas.openxmlformats.org/officeDocument/2006/relationships/image" Target="media/image13.jpeg" /><Relationship Id="rId1037" Type="http://schemas.openxmlformats.org/officeDocument/2006/relationships/image" Target="media/image14.jpeg" /><Relationship Id="rId1038" Type="http://schemas.openxmlformats.org/officeDocument/2006/relationships/image" Target="media/image15.jpeg" /><Relationship Id="rId1039" Type="http://schemas.openxmlformats.org/officeDocument/2006/relationships/image" Target="media/image16.jpeg" /><Relationship Id="rId104" Type="http://schemas.openxmlformats.org/officeDocument/2006/relationships/hyperlink" Target="https://advance.lexis.com/api/document?collection=cases-ca&amp;id=urn:contentItem:5F7T-S7F1-FBN1-21KD-00000-00&amp;context=" TargetMode="External" /><Relationship Id="rId1040" Type="http://schemas.openxmlformats.org/officeDocument/2006/relationships/image" Target="media/image17.jpeg" /><Relationship Id="rId1041" Type="http://schemas.openxmlformats.org/officeDocument/2006/relationships/header" Target="header142.xml" /><Relationship Id="rId1042" Type="http://schemas.openxmlformats.org/officeDocument/2006/relationships/header" Target="header143.xml" /><Relationship Id="rId1043" Type="http://schemas.openxmlformats.org/officeDocument/2006/relationships/footer" Target="footer142.xml" /><Relationship Id="rId1044" Type="http://schemas.openxmlformats.org/officeDocument/2006/relationships/footer" Target="footer143.xml" /><Relationship Id="rId1045" Type="http://schemas.openxmlformats.org/officeDocument/2006/relationships/header" Target="header144.xml" /><Relationship Id="rId1046" Type="http://schemas.openxmlformats.org/officeDocument/2006/relationships/footer" Target="footer144.xml" /><Relationship Id="rId1047" Type="http://schemas.openxmlformats.org/officeDocument/2006/relationships/hyperlink" Target="https://advance.lexis.com/api/document?collection=cases-ca&amp;id=urn:contentItem:5F7T-S781-F27X-61HB-00000-00&amp;context=" TargetMode="External" /><Relationship Id="rId1048" Type="http://schemas.openxmlformats.org/officeDocument/2006/relationships/hyperlink" Target="https://advance.lexis.com/api/document?collection=cases-ca&amp;id=urn:contentItem:5F7T-S781-FH4C-X2PS-00000-00&amp;context=" TargetMode="External" /><Relationship Id="rId1049" Type="http://schemas.openxmlformats.org/officeDocument/2006/relationships/header" Target="header145.xml" /><Relationship Id="rId105" Type="http://schemas.openxmlformats.org/officeDocument/2006/relationships/hyperlink" Target="https://advance.lexis.com/api/document?collection=cases-ca&amp;id=urn:contentItem:5F8W-W651-FG68-G09D-00000-00&amp;context=" TargetMode="External" /><Relationship Id="rId1050" Type="http://schemas.openxmlformats.org/officeDocument/2006/relationships/header" Target="header146.xml" /><Relationship Id="rId1051" Type="http://schemas.openxmlformats.org/officeDocument/2006/relationships/footer" Target="footer145.xml" /><Relationship Id="rId1052" Type="http://schemas.openxmlformats.org/officeDocument/2006/relationships/footer" Target="footer146.xml" /><Relationship Id="rId1053" Type="http://schemas.openxmlformats.org/officeDocument/2006/relationships/header" Target="header147.xml" /><Relationship Id="rId1054" Type="http://schemas.openxmlformats.org/officeDocument/2006/relationships/footer" Target="footer147.xml" /><Relationship Id="rId1055" Type="http://schemas.openxmlformats.org/officeDocument/2006/relationships/hyperlink" Target="https://advance.lexis.com/api/document?collection=cases-ca&amp;id=urn:contentItem:5NYG-2N01-F2F4-G4JS-00000-00&amp;context=" TargetMode="External" /><Relationship Id="rId1056" Type="http://schemas.openxmlformats.org/officeDocument/2006/relationships/hyperlink" Target="https://advance.lexis.com/api/document?collection=cases-ca&amp;id=urn:contentItem:5F8T-N3V1-FH4C-X23H-00000-00&amp;context=" TargetMode="External" /><Relationship Id="rId1057" Type="http://schemas.openxmlformats.org/officeDocument/2006/relationships/hyperlink" Target="https://advance.lexis.com/api/document?collection=cases-ca&amp;id=urn:contentItem:5F7T-S711-JC0G-62KR-00000-00&amp;context=" TargetMode="External" /><Relationship Id="rId1058" Type="http://schemas.openxmlformats.org/officeDocument/2006/relationships/hyperlink" Target="https://advance.lexis.com/api/document?collection=cases-ca&amp;id=urn:contentItem:5F7T-S7D1-DY89-M4F6-00000-00&amp;context=" TargetMode="External" /><Relationship Id="rId1059" Type="http://schemas.openxmlformats.org/officeDocument/2006/relationships/hyperlink" Target="https://advance.lexis.com/api/document?collection=cases-ca&amp;id=urn:contentItem:5F7T-S7D1-JN6B-S0S6-00000-00&amp;context=" TargetMode="External" /><Relationship Id="rId106" Type="http://schemas.openxmlformats.org/officeDocument/2006/relationships/hyperlink" Target="https://advance.lexis.com/api/document?collection=cases-ca&amp;id=urn:contentItem:5F8P-T8W1-F5DR-22R4-00000-00&amp;context=" TargetMode="External" /><Relationship Id="rId1060" Type="http://schemas.openxmlformats.org/officeDocument/2006/relationships/hyperlink" Target="https://advance.lexis.com/api/document?collection=cases-ca&amp;id=urn:contentItem:5F7T-S7C1-FCSB-S28G-00000-00&amp;context=" TargetMode="External" /><Relationship Id="rId1061" Type="http://schemas.openxmlformats.org/officeDocument/2006/relationships/hyperlink" Target="https://advance.lexis.com/api/document?collection=legislation-ca&amp;id=urn:contentItem:5F41-1FP1-JKHB-60XF-00000-00&amp;context=" TargetMode="External" /><Relationship Id="rId1062" Type="http://schemas.openxmlformats.org/officeDocument/2006/relationships/hyperlink" Target="https://advance.lexis.com/api/document?collection=cases-ca&amp;id=urn:contentItem:5F8T-N3V1-JTGH-B17G-00000-00&amp;context=" TargetMode="External" /><Relationship Id="rId1063" Type="http://schemas.openxmlformats.org/officeDocument/2006/relationships/hyperlink" Target="https://advance.lexis.com/api/document?collection=cases-ca&amp;id=urn:contentItem:5F81-VJT1-F956-S3DX-00000-00&amp;context=" TargetMode="External" /><Relationship Id="rId1064" Type="http://schemas.openxmlformats.org/officeDocument/2006/relationships/hyperlink" Target="https://advance.lexis.com/api/document?collection=cases-ca&amp;id=urn:contentItem:5F7V-3DD1-JFKM-64JT-00000-00&amp;context=" TargetMode="External" /><Relationship Id="rId1065" Type="http://schemas.openxmlformats.org/officeDocument/2006/relationships/hyperlink" Target="https://advance.lexis.com/api/document?collection=cases-ca&amp;id=urn:contentItem:5F81-VJV1-F60C-X37P-00000-00&amp;context=" TargetMode="External" /><Relationship Id="rId1066" Type="http://schemas.openxmlformats.org/officeDocument/2006/relationships/hyperlink" Target="https://advance.lexis.com/api/document?collection=cases-ca&amp;id=urn:contentItem:5F16-9361-F27X-6188-00000-00&amp;context=" TargetMode="External" /><Relationship Id="rId1067" Type="http://schemas.openxmlformats.org/officeDocument/2006/relationships/hyperlink" Target="https://advance.lexis.com/api/document?collection=cases-ca&amp;id=urn:contentItem:5F16-9301-JC5P-G1JC-00000-00&amp;context=" TargetMode="External" /><Relationship Id="rId1068" Type="http://schemas.openxmlformats.org/officeDocument/2006/relationships/hyperlink" Target="https://advance.lexis.com/api/document?collection=cases-ca&amp;id=urn:contentItem:5F7T-S6V1-F956-S05B-00000-00&amp;context=" TargetMode="External" /><Relationship Id="rId1069" Type="http://schemas.openxmlformats.org/officeDocument/2006/relationships/hyperlink" Target="https://advance.lexis.com/api/document?collection=cases-ca&amp;id=urn:contentItem:5F7T-S6S1-JNY7-X27T-00000-00&amp;context=" TargetMode="External" /><Relationship Id="rId107" Type="http://schemas.openxmlformats.org/officeDocument/2006/relationships/hyperlink" Target="https://advance.lexis.com/api/document?collection=cases-ca&amp;id=urn:contentItem:5F8W-M471-JBT7-X551-00000-00&amp;context=" TargetMode="External" /><Relationship Id="rId1070" Type="http://schemas.openxmlformats.org/officeDocument/2006/relationships/hyperlink" Target="https://advance.lexis.com/api/document?collection=cases-ca&amp;id=urn:contentItem:5F7T-S7P1-JP4G-61S1-00000-00&amp;context=" TargetMode="External" /><Relationship Id="rId1071" Type="http://schemas.openxmlformats.org/officeDocument/2006/relationships/hyperlink" Target="https://advance.lexis.com/api/document?collection=cases-ca&amp;id=urn:contentItem:5F16-9351-JSXV-G4FP-00000-00&amp;context=" TargetMode="External" /><Relationship Id="rId1072" Type="http://schemas.openxmlformats.org/officeDocument/2006/relationships/header" Target="header148.xml" /><Relationship Id="rId1073" Type="http://schemas.openxmlformats.org/officeDocument/2006/relationships/header" Target="header149.xml" /><Relationship Id="rId1074" Type="http://schemas.openxmlformats.org/officeDocument/2006/relationships/footer" Target="footer148.xml" /><Relationship Id="rId1075" Type="http://schemas.openxmlformats.org/officeDocument/2006/relationships/footer" Target="footer149.xml" /><Relationship Id="rId1076" Type="http://schemas.openxmlformats.org/officeDocument/2006/relationships/header" Target="header150.xml" /><Relationship Id="rId1077" Type="http://schemas.openxmlformats.org/officeDocument/2006/relationships/footer" Target="footer150.xml" /><Relationship Id="rId1078" Type="http://schemas.openxmlformats.org/officeDocument/2006/relationships/hyperlink" Target="https://advance.lexis.com/api/document?collection=cases-ca&amp;id=urn:contentItem:5F7T-S771-JTGH-B18J-00000-00&amp;context=" TargetMode="External" /><Relationship Id="rId1079" Type="http://schemas.openxmlformats.org/officeDocument/2006/relationships/numbering" Target="numbering.xml" /><Relationship Id="rId108" Type="http://schemas.openxmlformats.org/officeDocument/2006/relationships/hyperlink" Target="https://advance.lexis.com/api/document?collection=cases-ca&amp;id=urn:contentItem:5F7T-S771-FG68-G0YJ-00000-00&amp;context=" TargetMode="External" /><Relationship Id="rId1080" Type="http://schemas.openxmlformats.org/officeDocument/2006/relationships/styles" Target="styles.xml" /><Relationship Id="rId109" Type="http://schemas.openxmlformats.org/officeDocument/2006/relationships/hyperlink" Target="https://advance.lexis.com/api/document?collection=cases-ca&amp;id=urn:contentItem:5F81-VJV1-JG59-22XR-00000-00&amp;context=" TargetMode="External" /><Relationship Id="rId11" Type="http://schemas.openxmlformats.org/officeDocument/2006/relationships/hyperlink" Target="https://advance.lexis.com/api/document?collection=legislation-ca&amp;id=urn:contentItem:5F41-1FG1-F4NT-X0BT-00000-00&amp;context=" TargetMode="External" /><Relationship Id="rId110" Type="http://schemas.openxmlformats.org/officeDocument/2006/relationships/hyperlink" Target="https://advance.lexis.com/api/document?collection=cases-ca&amp;id=urn:contentItem:5F8T-N3V1-FC1F-M43Y-00000-00&amp;context=" TargetMode="External" /><Relationship Id="rId111" Type="http://schemas.openxmlformats.org/officeDocument/2006/relationships/hyperlink" Target="https://advance.lexis.com/api/document?collection=cases-ca&amp;id=urn:contentItem:5F8W-W631-F57G-S2HK-00000-00&amp;context=" TargetMode="External" /><Relationship Id="rId112" Type="http://schemas.openxmlformats.org/officeDocument/2006/relationships/hyperlink" Target="https://advance.lexis.com/api/document?collection=cases-ca&amp;id=urn:contentItem:5F8W-W641-FGY5-M44M-00000-00&amp;context=" TargetMode="External" /><Relationship Id="rId113" Type="http://schemas.openxmlformats.org/officeDocument/2006/relationships/hyperlink" Target="https://advance.lexis.com/api/document?collection=cases-ca&amp;id=urn:contentItem:5F7T-S7D1-FC6N-X0NB-00000-00&amp;context=" TargetMode="External" /><Relationship Id="rId114" Type="http://schemas.openxmlformats.org/officeDocument/2006/relationships/header" Target="header25.xml" /><Relationship Id="rId115" Type="http://schemas.openxmlformats.org/officeDocument/2006/relationships/header" Target="header26.xml" /><Relationship Id="rId116" Type="http://schemas.openxmlformats.org/officeDocument/2006/relationships/footer" Target="footer25.xml" /><Relationship Id="rId117" Type="http://schemas.openxmlformats.org/officeDocument/2006/relationships/footer" Target="footer26.xml" /><Relationship Id="rId118" Type="http://schemas.openxmlformats.org/officeDocument/2006/relationships/header" Target="header27.xml" /><Relationship Id="rId119" Type="http://schemas.openxmlformats.org/officeDocument/2006/relationships/footer" Target="footer27.xml" /><Relationship Id="rId12" Type="http://schemas.openxmlformats.org/officeDocument/2006/relationships/hyperlink" Target="https://advance.lexis.com/api/document?collection=legislation-ca&amp;id=urn:contentItem:5F41-1FJ1-JBDT-B069-00000-00&amp;context=" TargetMode="External" /><Relationship Id="rId120" Type="http://schemas.openxmlformats.org/officeDocument/2006/relationships/hyperlink" Target="https://advance.lexis.com/api/document?collection=cases-ca&amp;id=urn:contentItem:5F7T-S7B1-FH4C-X38F-00000-00&amp;context=" TargetMode="External" /><Relationship Id="rId121" Type="http://schemas.openxmlformats.org/officeDocument/2006/relationships/hyperlink" Target="https://advance.lexis.com/api/document?collection=cases-ca&amp;id=urn:contentItem:5F8P-SDG1-F06F-226T-00000-00&amp;context=" TargetMode="External" /><Relationship Id="rId122" Type="http://schemas.openxmlformats.org/officeDocument/2006/relationships/hyperlink" Target="https://advance.lexis.com/api/document?collection=cases-ca&amp;id=urn:contentItem:5F8P-SD31-JSRM-633X-00000-00&amp;context=" TargetMode="External" /><Relationship Id="rId123" Type="http://schemas.openxmlformats.org/officeDocument/2006/relationships/hyperlink" Target="https://advance.lexis.com/api/document?collection=cases-ca&amp;id=urn:contentItem:5F7T-S761-JX8W-M2NW-00000-00&amp;context=" TargetMode="External" /><Relationship Id="rId124" Type="http://schemas.openxmlformats.org/officeDocument/2006/relationships/header" Target="header28.xml" /><Relationship Id="rId125" Type="http://schemas.openxmlformats.org/officeDocument/2006/relationships/header" Target="header29.xml" /><Relationship Id="rId126" Type="http://schemas.openxmlformats.org/officeDocument/2006/relationships/footer" Target="footer28.xml" /><Relationship Id="rId127" Type="http://schemas.openxmlformats.org/officeDocument/2006/relationships/footer" Target="footer29.xml" /><Relationship Id="rId128" Type="http://schemas.openxmlformats.org/officeDocument/2006/relationships/header" Target="header30.xml" /><Relationship Id="rId129" Type="http://schemas.openxmlformats.org/officeDocument/2006/relationships/footer" Target="footer30.xml" /><Relationship Id="rId13" Type="http://schemas.openxmlformats.org/officeDocument/2006/relationships/hyperlink" Target="https://advance.lexis.com/api/document?collection=cases-ca&amp;id=urn:contentItem:5F8T-N3V1-FC1F-M4BT-00000-00&amp;context=" TargetMode="External" /><Relationship Id="rId130" Type="http://schemas.openxmlformats.org/officeDocument/2006/relationships/hyperlink" Target="https://advance.lexis.com/api/document?collection=cases-ca&amp;id=urn:contentItem:5F7T-S781-F7G6-63RY-00000-00&amp;context=" TargetMode="External" /><Relationship Id="rId131" Type="http://schemas.openxmlformats.org/officeDocument/2006/relationships/hyperlink" Target="https://advance.lexis.com/api/document?collection=cases-ca&amp;id=urn:contentItem:5F7T-S721-FD4T-B0MF-00000-00&amp;context=" TargetMode="External" /><Relationship Id="rId132" Type="http://schemas.openxmlformats.org/officeDocument/2006/relationships/hyperlink" Target="https://advance.lexis.com/api/document?collection=cases-ca&amp;id=urn:contentItem:5F7T-S6V1-JFKM-6133-00000-00&amp;context=" TargetMode="External" /><Relationship Id="rId133" Type="http://schemas.openxmlformats.org/officeDocument/2006/relationships/hyperlink" Target="https://advance.lexis.com/api/document?collection=cases-ca&amp;id=urn:contentItem:5F7T-S6T1-FJTD-G1NJ-00000-00&amp;context=" TargetMode="External" /><Relationship Id="rId134" Type="http://schemas.openxmlformats.org/officeDocument/2006/relationships/hyperlink" Target="https://advance.lexis.com/api/document?collection=cases-ca&amp;id=urn:contentItem:5F7T-S731-FFFC-B0K2-00000-00&amp;context=" TargetMode="External" /><Relationship Id="rId135" Type="http://schemas.openxmlformats.org/officeDocument/2006/relationships/header" Target="header31.xml" /><Relationship Id="rId136" Type="http://schemas.openxmlformats.org/officeDocument/2006/relationships/header" Target="header32.xml" /><Relationship Id="rId137" Type="http://schemas.openxmlformats.org/officeDocument/2006/relationships/footer" Target="footer31.xml" /><Relationship Id="rId138" Type="http://schemas.openxmlformats.org/officeDocument/2006/relationships/footer" Target="footer32.xml" /><Relationship Id="rId139" Type="http://schemas.openxmlformats.org/officeDocument/2006/relationships/header" Target="header33.xml" /><Relationship Id="rId14" Type="http://schemas.openxmlformats.org/officeDocument/2006/relationships/hyperlink" Target="https://advance.lexis.com/api/document?collection=cases-ca&amp;id=urn:contentItem:5F7T-S6X1-F7ND-G45B-00000-00&amp;context=" TargetMode="External" /><Relationship Id="rId140" Type="http://schemas.openxmlformats.org/officeDocument/2006/relationships/footer" Target="footer33.xml" /><Relationship Id="rId141" Type="http://schemas.openxmlformats.org/officeDocument/2006/relationships/hyperlink" Target="https://advance.lexis.com/api/document?collection=cases-ca&amp;id=urn:contentItem:5GCC-XVB1-JGHR-M4F4-00000-00&amp;context=" TargetMode="External" /><Relationship Id="rId142" Type="http://schemas.openxmlformats.org/officeDocument/2006/relationships/hyperlink" Target="https://advance.lexis.com/api/document?collection=cases-ca&amp;id=urn:contentItem:5K6Y-81N1-JFDC-X1VR-00000-00&amp;context=" TargetMode="External" /><Relationship Id="rId143" Type="http://schemas.openxmlformats.org/officeDocument/2006/relationships/image" Target="media/image4.jpeg" /><Relationship Id="rId144" Type="http://schemas.openxmlformats.org/officeDocument/2006/relationships/hyperlink" Target="https://advance.lexis.com/api/document?collection=cases-ca&amp;id=urn:contentItem:5F8T-N3V1-FH4C-X253-00000-00&amp;context=" TargetMode="External" /><Relationship Id="rId145" Type="http://schemas.openxmlformats.org/officeDocument/2006/relationships/hyperlink" Target="https://advance.lexis.com/api/document?collection=cases-ca&amp;id=urn:contentItem:5F7T-S7F1-FJTD-G352-00000-00&amp;context=" TargetMode="External" /><Relationship Id="rId146" Type="http://schemas.openxmlformats.org/officeDocument/2006/relationships/hyperlink" Target="https://advance.lexis.com/api/document?collection=cases-ca&amp;id=urn:contentItem:5F7T-S7C1-JSRM-6165-00000-00&amp;context=" TargetMode="External" /><Relationship Id="rId147" Type="http://schemas.openxmlformats.org/officeDocument/2006/relationships/hyperlink" Target="https://advance.lexis.com/api/document?collection=cases-ca&amp;id=urn:contentItem:5F8T-N3V1-JFKM-609G-00000-00&amp;context=" TargetMode="External" /><Relationship Id="rId148" Type="http://schemas.openxmlformats.org/officeDocument/2006/relationships/hyperlink" Target="https://advance.lexis.com/api/document?collection=cases-ca&amp;id=urn:contentItem:5F7T-S7F1-JBT7-X2P8-00000-00&amp;context=" TargetMode="External" /><Relationship Id="rId149" Type="http://schemas.openxmlformats.org/officeDocument/2006/relationships/hyperlink" Target="https://advance.lexis.com/api/document?collection=cases-ca&amp;id=urn:contentItem:5F7T-S7D1-JG02-S2M1-00000-00&amp;context=" TargetMode="External" /><Relationship Id="rId15" Type="http://schemas.openxmlformats.org/officeDocument/2006/relationships/hyperlink" Target="https://advance.lexis.com/api/document?collection=cases-ca&amp;id=urn:contentItem:5F7T-S7D1-JG02-S2W7-00000-00&amp;context=" TargetMode="External" /><Relationship Id="rId150" Type="http://schemas.openxmlformats.org/officeDocument/2006/relationships/hyperlink" Target="https://advance.lexis.com/api/document?collection=cases-ca&amp;id=urn:contentItem:5F16-93C1-JSJC-X518-00000-00&amp;context=" TargetMode="External" /><Relationship Id="rId151" Type="http://schemas.openxmlformats.org/officeDocument/2006/relationships/hyperlink" Target="https://advance.lexis.com/api/document?collection=cases-ca&amp;id=urn:contentItem:5F7T-S7F1-FBN1-21G0-00000-00&amp;context=" TargetMode="External" /><Relationship Id="rId152" Type="http://schemas.openxmlformats.org/officeDocument/2006/relationships/hyperlink" Target="https://advance.lexis.com/api/document?collection=cases-ca&amp;id=urn:contentItem:5F7T-S7G1-JNY7-X3XK-00000-00&amp;context=" TargetMode="External" /><Relationship Id="rId153" Type="http://schemas.openxmlformats.org/officeDocument/2006/relationships/header" Target="header34.xml" /><Relationship Id="rId154" Type="http://schemas.openxmlformats.org/officeDocument/2006/relationships/header" Target="header35.xml" /><Relationship Id="rId155" Type="http://schemas.openxmlformats.org/officeDocument/2006/relationships/footer" Target="footer34.xml" /><Relationship Id="rId156" Type="http://schemas.openxmlformats.org/officeDocument/2006/relationships/footer" Target="footer35.xml" /><Relationship Id="rId157" Type="http://schemas.openxmlformats.org/officeDocument/2006/relationships/header" Target="header36.xml" /><Relationship Id="rId158" Type="http://schemas.openxmlformats.org/officeDocument/2006/relationships/footer" Target="footer36.xml" /><Relationship Id="rId159" Type="http://schemas.openxmlformats.org/officeDocument/2006/relationships/hyperlink" Target="https://advance.lexis.com/api/document?collection=cases-ca&amp;id=urn:contentItem:5GN2-DCK1-FGRY-B3MC-00000-00&amp;context=" TargetMode="External" /><Relationship Id="rId16" Type="http://schemas.openxmlformats.org/officeDocument/2006/relationships/hyperlink" Target="https://advance.lexis.com/api/document?collection=cases-ca&amp;id=urn:contentItem:5F8T-N3V1-JTGH-B1D5-00000-00&amp;context=" TargetMode="External" /><Relationship Id="rId160" Type="http://schemas.openxmlformats.org/officeDocument/2006/relationships/hyperlink" Target="https://advance.lexis.com/api/document?collection=cases-ca&amp;id=urn:contentItem:5F7T-S781-F06F-23N7-00000-00&amp;context=" TargetMode="External" /><Relationship Id="rId161" Type="http://schemas.openxmlformats.org/officeDocument/2006/relationships/hyperlink" Target="https://advance.lexis.com/api/document?collection=cases-ca&amp;id=urn:contentItem:5F8T-N3V1-JF75-M3S6-00000-00&amp;context=" TargetMode="External" /><Relationship Id="rId162" Type="http://schemas.openxmlformats.org/officeDocument/2006/relationships/hyperlink" Target="https://advance.lexis.com/api/document?collection=cases-ca&amp;id=urn:contentItem:5F8T-N3T1-JFKM-655K-00000-00&amp;context=" TargetMode="External" /><Relationship Id="rId163" Type="http://schemas.openxmlformats.org/officeDocument/2006/relationships/hyperlink" Target="https://advance.lexis.com/api/document?collection=cases-ca&amp;id=urn:contentItem:5F7T-S7N1-DXWW-206B-00000-00&amp;context=" TargetMode="External" /><Relationship Id="rId164" Type="http://schemas.openxmlformats.org/officeDocument/2006/relationships/hyperlink" Target="https://advance.lexis.com/api/document?collection=cases-ca&amp;id=urn:contentItem:5F7T-S7D1-F7ND-G0MH-00000-00&amp;context=" TargetMode="External" /><Relationship Id="rId165" Type="http://schemas.openxmlformats.org/officeDocument/2006/relationships/hyperlink" Target="https://advance.lexis.com/api/document?collection=cases-ca&amp;id=urn:contentItem:5F7T-S7K1-JX3N-B2V4-00000-00&amp;context=" TargetMode="External" /><Relationship Id="rId166" Type="http://schemas.openxmlformats.org/officeDocument/2006/relationships/hyperlink" Target="https://advance.lexis.com/api/document?collection=cases-ca&amp;id=urn:contentItem:5F7T-S7N1-F06F-24KX-00000-00&amp;context=" TargetMode="External" /><Relationship Id="rId167" Type="http://schemas.openxmlformats.org/officeDocument/2006/relationships/hyperlink" Target="https://advance.lexis.com/api/document?collection=cases-ca&amp;id=urn:contentItem:5F7T-S751-F361-M16M-00000-00&amp;context=" TargetMode="External" /><Relationship Id="rId168" Type="http://schemas.openxmlformats.org/officeDocument/2006/relationships/hyperlink" Target="https://advance.lexis.com/api/document?collection=cases-ca&amp;id=urn:contentItem:5F7T-S771-JW5H-X1KV-00000-00&amp;context=" TargetMode="External" /><Relationship Id="rId169" Type="http://schemas.openxmlformats.org/officeDocument/2006/relationships/hyperlink" Target="https://advance.lexis.com/api/document?collection=cases-ca&amp;id=urn:contentItem:5F7T-S7K1-F528-G2XC-00000-00&amp;context=" TargetMode="External" /><Relationship Id="rId17" Type="http://schemas.openxmlformats.org/officeDocument/2006/relationships/hyperlink" Target="https://advance.lexis.com/api/document?collection=cases-ca&amp;id=urn:contentItem:5F7T-S6Y1-DY33-B07K-00000-00&amp;context=" TargetMode="External" /><Relationship Id="rId170" Type="http://schemas.openxmlformats.org/officeDocument/2006/relationships/hyperlink" Target="https://advance.lexis.com/api/document?collection=cases-ca&amp;id=urn:contentItem:5F7T-S7M1-F4W2-626V-00000-00&amp;context=" TargetMode="External" /><Relationship Id="rId171" Type="http://schemas.openxmlformats.org/officeDocument/2006/relationships/hyperlink" Target="https://advance.lexis.com/api/document?collection=cases-ca&amp;id=urn:contentItem:5F7T-S7N1-JJ1H-X2MT-00000-00&amp;context=" TargetMode="External" /><Relationship Id="rId172" Type="http://schemas.openxmlformats.org/officeDocument/2006/relationships/hyperlink" Target="https://advance.lexis.com/api/document?collection=cases-ca&amp;id=urn:contentItem:5F7T-S7M1-JCRC-B1X4-00000-00&amp;context=" TargetMode="External" /><Relationship Id="rId173" Type="http://schemas.openxmlformats.org/officeDocument/2006/relationships/hyperlink" Target="https://advance.lexis.com/api/document?collection=cases-ca&amp;id=urn:contentItem:5F7T-S7B1-FH4C-X381-00000-00&amp;context=" TargetMode="External" /><Relationship Id="rId174" Type="http://schemas.openxmlformats.org/officeDocument/2006/relationships/hyperlink" Target="https://advance.lexis.com/api/document?collection=cases-ca&amp;id=urn:contentItem:5F7T-S7K1-DY33-B1K8-00000-00&amp;context=" TargetMode="External" /><Relationship Id="rId175" Type="http://schemas.openxmlformats.org/officeDocument/2006/relationships/hyperlink" Target="https://advance.lexis.com/api/document?collection=cases-ca&amp;id=urn:contentItem:5F7T-S7C1-JSRM-60TP-00000-00&amp;context=" TargetMode="External" /><Relationship Id="rId176" Type="http://schemas.openxmlformats.org/officeDocument/2006/relationships/hyperlink" Target="https://advance.lexis.com/api/document?collection=cases-ca&amp;id=urn:contentItem:5F7T-S7K1-F1H1-22C1-00000-00&amp;context=" TargetMode="External" /><Relationship Id="rId177" Type="http://schemas.openxmlformats.org/officeDocument/2006/relationships/hyperlink" Target="https://advance.lexis.com/api/document?collection=cases-ca&amp;id=urn:contentItem:5F7T-S7D1-FBFS-S1M7-00000-00&amp;context=" TargetMode="External" /><Relationship Id="rId178" Type="http://schemas.openxmlformats.org/officeDocument/2006/relationships/hyperlink" Target="https://advance.lexis.com/api/document?collection=cases-ca&amp;id=urn:contentItem:5F7T-S7M1-JCRC-B1NK-00000-00&amp;context=" TargetMode="External" /><Relationship Id="rId179" Type="http://schemas.openxmlformats.org/officeDocument/2006/relationships/hyperlink" Target="https://advance.lexis.com/api/document?collection=cases-ca&amp;id=urn:contentItem:5F7T-S7K1-F1H1-221V-00000-00&amp;context=" TargetMode="External" /><Relationship Id="rId18" Type="http://schemas.openxmlformats.org/officeDocument/2006/relationships/hyperlink" Target="https://advance.lexis.com/api/document?collection=cases-ca&amp;id=urn:contentItem:5F7T-S731-JNJT-B1W0-00000-00&amp;context=" TargetMode="External" /><Relationship Id="rId180" Type="http://schemas.openxmlformats.org/officeDocument/2006/relationships/hyperlink" Target="https://advance.lexis.com/api/document?collection=cases-ca&amp;id=urn:contentItem:5F7T-S7P1-JP4G-620F-00000-00&amp;context=" TargetMode="External" /><Relationship Id="rId181" Type="http://schemas.openxmlformats.org/officeDocument/2006/relationships/hyperlink" Target="https://advance.lexis.com/api/document?collection=cases-ca&amp;id=urn:contentItem:5F7T-S7K1-JSJC-X168-00000-00&amp;context=" TargetMode="External" /><Relationship Id="rId182" Type="http://schemas.openxmlformats.org/officeDocument/2006/relationships/hyperlink" Target="https://advance.lexis.com/api/document?collection=cases-ca&amp;id=urn:contentItem:5F7T-S7P1-JSJC-X1MC-00000-00&amp;context=" TargetMode="External" /><Relationship Id="rId183" Type="http://schemas.openxmlformats.org/officeDocument/2006/relationships/hyperlink" Target="https://advance.lexis.com/api/document?collection=cases-ca&amp;id=urn:contentItem:5F7T-S6W1-JB7K-21F4-00000-00&amp;context=" TargetMode="External" /><Relationship Id="rId184" Type="http://schemas.openxmlformats.org/officeDocument/2006/relationships/hyperlink" Target="https://advance.lexis.com/api/document?collection=cases-ca&amp;id=urn:contentItem:5F7T-S7N1-F57G-S2D4-00000-00&amp;context=" TargetMode="External" /><Relationship Id="rId185" Type="http://schemas.openxmlformats.org/officeDocument/2006/relationships/hyperlink" Target="https://advance.lexis.com/api/document?collection=cases-ca&amp;id=urn:contentItem:5F7T-S7N1-F06F-24BC-00000-00&amp;context=" TargetMode="External" /><Relationship Id="rId186" Type="http://schemas.openxmlformats.org/officeDocument/2006/relationships/hyperlink" Target="https://advance.lexis.com/api/document?collection=cases-ca&amp;id=urn:contentItem:5F7T-S7N1-JC5P-G2DS-00000-00&amp;context=" TargetMode="External" /><Relationship Id="rId187" Type="http://schemas.openxmlformats.org/officeDocument/2006/relationships/header" Target="header37.xml" /><Relationship Id="rId188" Type="http://schemas.openxmlformats.org/officeDocument/2006/relationships/header" Target="header38.xml" /><Relationship Id="rId189" Type="http://schemas.openxmlformats.org/officeDocument/2006/relationships/footer" Target="footer37.xml" /><Relationship Id="rId19" Type="http://schemas.openxmlformats.org/officeDocument/2006/relationships/hyperlink" Target="https://advance.lexis.com/api/document?collection=cases-ca&amp;id=urn:contentItem:5F7T-S751-JBM1-M2CY-00000-00&amp;context=" TargetMode="External" /><Relationship Id="rId190" Type="http://schemas.openxmlformats.org/officeDocument/2006/relationships/footer" Target="footer38.xml" /><Relationship Id="rId191" Type="http://schemas.openxmlformats.org/officeDocument/2006/relationships/header" Target="header39.xml" /><Relationship Id="rId192" Type="http://schemas.openxmlformats.org/officeDocument/2006/relationships/footer" Target="footer39.xml" /><Relationship Id="rId193" Type="http://schemas.openxmlformats.org/officeDocument/2006/relationships/hyperlink" Target="https://advance.lexis.com/api/document?collection=cases-ca&amp;id=urn:contentItem:5X70-16K1-JJ1H-X4XD-00000-00&amp;context=" TargetMode="External" /><Relationship Id="rId194" Type="http://schemas.openxmlformats.org/officeDocument/2006/relationships/hyperlink" Target="https://advance.lexis.com/api/document?collection=cases-ca&amp;id=urn:contentItem:5F8T-N3P1-F7ND-G14C-00000-00&amp;context=" TargetMode="External" /><Relationship Id="rId195" Type="http://schemas.openxmlformats.org/officeDocument/2006/relationships/hyperlink" Target="https://advance.lexis.com/api/document?collection=cases-ca&amp;id=urn:contentItem:5F81-YGW1-DYFH-X025-00000-00&amp;context=" TargetMode="External" /><Relationship Id="rId196" Type="http://schemas.openxmlformats.org/officeDocument/2006/relationships/hyperlink" Target="https://advance.lexis.com/api/document?collection=cases-ca&amp;id=urn:contentItem:5F8P-SC71-JK4W-M2MK-00000-00&amp;context=" TargetMode="External" /><Relationship Id="rId197" Type="http://schemas.openxmlformats.org/officeDocument/2006/relationships/hyperlink" Target="https://advance.lexis.com/api/document?collection=cases-ca&amp;id=urn:contentItem:5F7T-S7G1-JBT7-X40C-00000-00&amp;context=" TargetMode="External" /><Relationship Id="rId198" Type="http://schemas.openxmlformats.org/officeDocument/2006/relationships/hyperlink" Target="https://advance.lexis.com/api/document?collection=cases-ca&amp;id=urn:contentItem:5F8T-N3V1-JF75-M3WX-00000-00&amp;context=" TargetMode="External" /><Relationship Id="rId199" Type="http://schemas.openxmlformats.org/officeDocument/2006/relationships/hyperlink" Target="https://advance.lexis.com/api/document?collection=cases-ca&amp;id=urn:contentItem:5F16-9321-FC1F-M53V-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F1-FBN1-21XT-00000-00&amp;context=" TargetMode="External" /><Relationship Id="rId200" Type="http://schemas.openxmlformats.org/officeDocument/2006/relationships/hyperlink" Target="https://advance.lexis.com/api/document?collection=cases-ca&amp;id=urn:contentItem:5F7T-S711-JNY7-X3B1-00000-00&amp;context=" TargetMode="External" /><Relationship Id="rId201" Type="http://schemas.openxmlformats.org/officeDocument/2006/relationships/hyperlink" Target="https://advance.lexis.com/api/document?collection=cases-ca&amp;id=urn:contentItem:5F7T-S7G1-JNY7-X443-00000-00&amp;context=" TargetMode="External" /><Relationship Id="rId202" Type="http://schemas.openxmlformats.org/officeDocument/2006/relationships/hyperlink" Target="https://advance.lexis.com/api/document?collection=cases-ca&amp;id=urn:contentItem:5F7T-S7H1-JG02-S3N8-00000-00&amp;context=" TargetMode="External" /><Relationship Id="rId203" Type="http://schemas.openxmlformats.org/officeDocument/2006/relationships/hyperlink" Target="https://advance.lexis.com/api/document?collection=cases-ca&amp;id=urn:contentItem:5F7T-S7H1-JG02-S3T6-00000-00&amp;context=" TargetMode="External" /><Relationship Id="rId204" Type="http://schemas.openxmlformats.org/officeDocument/2006/relationships/hyperlink" Target="https://advance.lexis.com/api/document?collection=cases-ca&amp;id=urn:contentItem:5F8T-N3V1-JTGH-B0YP-00000-00&amp;context=" TargetMode="External" /><Relationship Id="rId205" Type="http://schemas.openxmlformats.org/officeDocument/2006/relationships/hyperlink" Target="https://advance.lexis.com/api/document?collection=cases-ca&amp;id=urn:contentItem:5F7T-S7M1-JNCK-22RP-00000-00&amp;context=" TargetMode="External" /><Relationship Id="rId206" Type="http://schemas.openxmlformats.org/officeDocument/2006/relationships/hyperlink" Target="https://advance.lexis.com/api/document?collection=cases-ca&amp;id=urn:contentItem:5F8T-N3V1-JTGH-B18F-00000-00&amp;context=" TargetMode="External" /><Relationship Id="rId207" Type="http://schemas.openxmlformats.org/officeDocument/2006/relationships/hyperlink" Target="https://advance.lexis.com/api/document?collection=cases-ca&amp;id=urn:contentItem:5F8T-N3V1-JTGH-B153-00000-00&amp;context=" TargetMode="External" /><Relationship Id="rId208" Type="http://schemas.openxmlformats.org/officeDocument/2006/relationships/hyperlink" Target="https://advance.lexis.com/api/document?collection=cases-ca&amp;id=urn:contentItem:5F8T-N3V1-FH4C-X20M-00000-00&amp;context=" TargetMode="External" /><Relationship Id="rId209" Type="http://schemas.openxmlformats.org/officeDocument/2006/relationships/hyperlink" Target="https://advance.lexis.com/api/document?collection=cases-ca&amp;id=urn:contentItem:5KT4-DY51-JW5H-X0HM-00000-00&amp;context=" TargetMode="External" /><Relationship Id="rId21" Type="http://schemas.openxmlformats.org/officeDocument/2006/relationships/image" Target="media/image1.png" /><Relationship Id="rId210" Type="http://schemas.openxmlformats.org/officeDocument/2006/relationships/hyperlink" Target="https://advance.lexis.com/api/document?collection=cases-ca&amp;id=urn:contentItem:5F7T-S7N1-DXWW-20CN-00000-00&amp;context=" TargetMode="External" /><Relationship Id="rId211" Type="http://schemas.openxmlformats.org/officeDocument/2006/relationships/hyperlink" Target="https://advance.lexis.com/api/document?collection=cases-ca&amp;id=urn:contentItem:5F7T-S7K1-JWXF-20X0-00000-00&amp;context=" TargetMode="External" /><Relationship Id="rId212" Type="http://schemas.openxmlformats.org/officeDocument/2006/relationships/hyperlink" Target="https://advance.lexis.com/api/document?collection=cases-ca&amp;id=urn:contentItem:5F82-1SJ1-DYMS-63D0-00000-00&amp;context=" TargetMode="External" /><Relationship Id="rId213" Type="http://schemas.openxmlformats.org/officeDocument/2006/relationships/hyperlink" Target="https://advance.lexis.com/api/document?collection=cases-ca&amp;id=urn:contentItem:5F7T-S7D1-JXG3-X12J-00000-00&amp;context=" TargetMode="External" /><Relationship Id="rId214" Type="http://schemas.openxmlformats.org/officeDocument/2006/relationships/hyperlink" Target="https://advance.lexis.com/api/document?collection=cases-ca&amp;id=urn:contentItem:5F7T-S7F1-FBN1-21Y2-00000-00&amp;context=" TargetMode="External" /><Relationship Id="rId215" Type="http://schemas.openxmlformats.org/officeDocument/2006/relationships/hyperlink" Target="https://advance.lexis.com/api/document?collection=cases-ca&amp;id=urn:contentItem:5F82-1SF1-F361-M45M-00000-00&amp;context=" TargetMode="External" /><Relationship Id="rId216" Type="http://schemas.openxmlformats.org/officeDocument/2006/relationships/hyperlink" Target="https://advance.lexis.com/api/document?collection=cases-ca&amp;id=urn:contentItem:5F8T-N3T1-JJSF-234V-00000-00&amp;context=" TargetMode="External" /><Relationship Id="rId217" Type="http://schemas.openxmlformats.org/officeDocument/2006/relationships/hyperlink" Target="https://advance.lexis.com/api/document?collection=cases-ca&amp;id=urn:contentItem:5F7T-S761-F81W-21RK-00000-00&amp;context=" TargetMode="External" /><Relationship Id="rId218" Type="http://schemas.openxmlformats.org/officeDocument/2006/relationships/hyperlink" Target="https://advance.lexis.com/api/document?collection=cases-ca&amp;id=urn:contentItem:5F7T-S7H1-JCRC-B110-00000-00&amp;context=" TargetMode="External" /><Relationship Id="rId219" Type="http://schemas.openxmlformats.org/officeDocument/2006/relationships/hyperlink" Target="https://advance.lexis.com/api/document?collection=cases-ca&amp;id=urn:contentItem:5F7T-S7K1-JWXF-216C-00000-00&amp;context=" TargetMode="External" /><Relationship Id="rId22" Type="http://schemas.openxmlformats.org/officeDocument/2006/relationships/image" Target="media/image2.png" /><Relationship Id="rId220" Type="http://schemas.openxmlformats.org/officeDocument/2006/relationships/hyperlink" Target="https://advance.lexis.com/api/document?collection=cases-ca&amp;id=urn:contentItem:5JH9-BW81-F22N-X484-00000-00&amp;context=" TargetMode="External" /><Relationship Id="rId221" Type="http://schemas.openxmlformats.org/officeDocument/2006/relationships/hyperlink" Target="https://advance.lexis.com/api/document?collection=cases-ca&amp;id=urn:contentItem:5F7T-S7P1-JBDT-B1BG-00000-00&amp;context=" TargetMode="External" /><Relationship Id="rId222" Type="http://schemas.openxmlformats.org/officeDocument/2006/relationships/hyperlink" Target="https://advance.lexis.com/api/document?collection=cases-ca&amp;id=urn:contentItem:5F7T-S7P1-JSJC-X1SJ-00000-00&amp;context=" TargetMode="External" /><Relationship Id="rId223" Type="http://schemas.openxmlformats.org/officeDocument/2006/relationships/hyperlink" Target="https://advance.lexis.com/api/document?collection=cases-ca&amp;id=urn:contentItem:5PPC-9T11-JWJ0-G269-00000-00&amp;context=" TargetMode="External" /><Relationship Id="rId224" Type="http://schemas.openxmlformats.org/officeDocument/2006/relationships/hyperlink" Target="https://advance.lexis.com/api/document?collection=cases-ca&amp;id=urn:contentItem:5F7T-S7B1-F7ND-G50F-00000-00&amp;context=" TargetMode="External" /><Relationship Id="rId225" Type="http://schemas.openxmlformats.org/officeDocument/2006/relationships/hyperlink" Target="https://advance.lexis.com/api/document?collection=cases-ca&amp;id=urn:contentItem:5F7T-S701-JF75-M4N2-00000-00&amp;context=" TargetMode="External" /><Relationship Id="rId226" Type="http://schemas.openxmlformats.org/officeDocument/2006/relationships/hyperlink" Target="https://advance.lexis.com/api/document?collection=cases-ca&amp;id=urn:contentItem:5F7T-S6W1-JYYX-61TX-00000-00&amp;context=" TargetMode="External" /><Relationship Id="rId227" Type="http://schemas.openxmlformats.org/officeDocument/2006/relationships/hyperlink" Target="https://advance.lexis.com/api/document?collection=cases-ca&amp;id=urn:contentItem:5F81-VJX1-F5T5-M3YH-00000-00&amp;context=" TargetMode="External" /><Relationship Id="rId228" Type="http://schemas.openxmlformats.org/officeDocument/2006/relationships/hyperlink" Target="https://advance.lexis.com/api/document?collection=cases-ca&amp;id=urn:contentItem:5W6N-2JC1-JS0R-245W-00000-00&amp;context=" TargetMode="External" /><Relationship Id="rId229" Type="http://schemas.openxmlformats.org/officeDocument/2006/relationships/hyperlink" Target="https://advance.lexis.com/api/document?collection=cases-ca&amp;id=urn:contentItem:5RTY-1871-JCBX-S0TB-00000-00&amp;context=" TargetMode="External" /><Relationship Id="rId23" Type="http://schemas.openxmlformats.org/officeDocument/2006/relationships/image" Target="media/image3.png" /><Relationship Id="rId230" Type="http://schemas.openxmlformats.org/officeDocument/2006/relationships/hyperlink" Target="https://advance.lexis.com/api/document?collection=cases-ca&amp;id=urn:contentItem:5F7T-S6X1-JTNR-M3X3-00000-00&amp;context=" TargetMode="External" /><Relationship Id="rId231" Type="http://schemas.openxmlformats.org/officeDocument/2006/relationships/hyperlink" Target="https://advance.lexis.com/api/document?collection=cases-ca&amp;id=urn:contentItem:5F8T-N3V1-FC1F-M4BC-00000-00&amp;context=" TargetMode="External" /><Relationship Id="rId232" Type="http://schemas.openxmlformats.org/officeDocument/2006/relationships/hyperlink" Target="https://advance.lexis.com/api/document?collection=cases-ca&amp;id=urn:contentItem:5F7T-S7M1-F4W2-62B8-00000-00&amp;context=" TargetMode="External" /><Relationship Id="rId233" Type="http://schemas.openxmlformats.org/officeDocument/2006/relationships/hyperlink" Target="https://advance.lexis.com/api/document?collection=cases-ca&amp;id=urn:contentItem:5F7T-S7M1-JCRC-B1D6-00000-00&amp;context=" TargetMode="External" /><Relationship Id="rId234" Type="http://schemas.openxmlformats.org/officeDocument/2006/relationships/hyperlink" Target="https://advance.lexis.com/api/document?collection=cases-ca&amp;id=urn:contentItem:5F7T-S781-F900-G0T1-00000-00&amp;context=" TargetMode="External" /><Relationship Id="rId235" Type="http://schemas.openxmlformats.org/officeDocument/2006/relationships/hyperlink" Target="https://advance.lexis.com/api/document?collection=cases-ca&amp;id=urn:contentItem:5F7T-S7K1-JNY7-X4M0-00000-00&amp;context=" TargetMode="External" /><Relationship Id="rId236" Type="http://schemas.openxmlformats.org/officeDocument/2006/relationships/hyperlink" Target="https://advance.lexis.com/api/document?collection=cases-ca&amp;id=urn:contentItem:5F7T-S7M1-JCRC-B1SF-00000-00&amp;context=" TargetMode="External" /><Relationship Id="rId237" Type="http://schemas.openxmlformats.org/officeDocument/2006/relationships/hyperlink" Target="https://advance.lexis.com/api/document?collection=cases-ca&amp;id=urn:contentItem:5F8T-N3S1-JT99-250W-00000-00&amp;context=" TargetMode="External" /><Relationship Id="rId238" Type="http://schemas.openxmlformats.org/officeDocument/2006/relationships/hyperlink" Target="https://advance.lexis.com/api/document?collection=cases-ca&amp;id=urn:contentItem:5F7T-S7K1-DY33-B1R6-00000-00&amp;context=" TargetMode="External" /><Relationship Id="rId239" Type="http://schemas.openxmlformats.org/officeDocument/2006/relationships/hyperlink" Target="https://advance.lexis.com/api/document?collection=cases-ca&amp;id=urn:contentItem:5F7T-S761-F81W-222K-00000-00&amp;context=" TargetMode="External" /><Relationship Id="rId24" Type="http://schemas.openxmlformats.org/officeDocument/2006/relationships/header" Target="header4.xml" /><Relationship Id="rId240" Type="http://schemas.openxmlformats.org/officeDocument/2006/relationships/hyperlink" Target="https://advance.lexis.com/api/document?collection=cases-ca&amp;id=urn:contentItem:5F7T-S7P1-JG02-S49X-00000-00&amp;context=" TargetMode="External" /><Relationship Id="rId241" Type="http://schemas.openxmlformats.org/officeDocument/2006/relationships/header" Target="header40.xml" /><Relationship Id="rId242" Type="http://schemas.openxmlformats.org/officeDocument/2006/relationships/header" Target="header41.xml" /><Relationship Id="rId243" Type="http://schemas.openxmlformats.org/officeDocument/2006/relationships/footer" Target="footer40.xml" /><Relationship Id="rId244" Type="http://schemas.openxmlformats.org/officeDocument/2006/relationships/footer" Target="footer41.xml" /><Relationship Id="rId245" Type="http://schemas.openxmlformats.org/officeDocument/2006/relationships/header" Target="header42.xml" /><Relationship Id="rId246" Type="http://schemas.openxmlformats.org/officeDocument/2006/relationships/footer" Target="footer42.xml" /><Relationship Id="rId247" Type="http://schemas.openxmlformats.org/officeDocument/2006/relationships/hyperlink" Target="https://advance.lexis.com/api/document?collection=cases-ca&amp;id=urn:contentItem:5F7T-S7N1-JC5P-G2BF-00000-00&amp;context=" TargetMode="External" /><Relationship Id="rId248" Type="http://schemas.openxmlformats.org/officeDocument/2006/relationships/hyperlink" Target="https://advance.lexis.com/api/document?collection=cases-ca&amp;id=urn:contentItem:5F8P-SDW1-F57G-S0S1-00000-00&amp;context=" TargetMode="External" /><Relationship Id="rId249" Type="http://schemas.openxmlformats.org/officeDocument/2006/relationships/hyperlink" Target="https://advance.lexis.com/api/document?collection=cases-ca&amp;id=urn:contentItem:5F8T-N3S1-JT99-24X4-00000-00&amp;context=" TargetMode="External" /><Relationship Id="rId25" Type="http://schemas.openxmlformats.org/officeDocument/2006/relationships/header" Target="header5.xml" /><Relationship Id="rId250" Type="http://schemas.openxmlformats.org/officeDocument/2006/relationships/hyperlink" Target="https://advance.lexis.com/api/document?collection=cases-ca&amp;id=urn:contentItem:5F8P-SCT1-FCCX-6492-00000-00&amp;context=" TargetMode="External" /><Relationship Id="rId251" Type="http://schemas.openxmlformats.org/officeDocument/2006/relationships/hyperlink" Target="https://advance.lexis.com/api/document?collection=cases-ca&amp;id=urn:contentItem:5F8T-N3V1-FC1F-M4GT-00000-00&amp;context=" TargetMode="External" /><Relationship Id="rId252" Type="http://schemas.openxmlformats.org/officeDocument/2006/relationships/hyperlink" Target="https://advance.lexis.com/api/document?collection=cases-ca&amp;id=urn:contentItem:5F7T-S7M1-F4W2-62CR-00000-00&amp;context=" TargetMode="External" /><Relationship Id="rId253" Type="http://schemas.openxmlformats.org/officeDocument/2006/relationships/hyperlink" Target="https://advance.lexis.com/api/document?collection=cases-ca&amp;id=urn:contentItem:5F7T-S731-F60C-X1JY-00000-00&amp;context=" TargetMode="External" /><Relationship Id="rId254" Type="http://schemas.openxmlformats.org/officeDocument/2006/relationships/hyperlink" Target="https://advance.lexis.com/api/document?collection=cases-ca&amp;id=urn:contentItem:5F7T-S7C1-F4NT-X437-00000-00&amp;context=" TargetMode="External" /><Relationship Id="rId255" Type="http://schemas.openxmlformats.org/officeDocument/2006/relationships/hyperlink" Target="https://advance.lexis.com/api/document?collection=cases-ca&amp;id=urn:contentItem:5F8W-M4D1-JF1Y-B0CN-00000-00&amp;context=" TargetMode="External" /><Relationship Id="rId256" Type="http://schemas.openxmlformats.org/officeDocument/2006/relationships/hyperlink" Target="https://advance.lexis.com/api/document?collection=cases-ca&amp;id=urn:contentItem:5F7F-5RH1-F873-B096-00000-00&amp;context=" TargetMode="External" /><Relationship Id="rId257" Type="http://schemas.openxmlformats.org/officeDocument/2006/relationships/hyperlink" Target="https://advance.lexis.com/api/document?collection=cases-ca&amp;id=urn:contentItem:5F16-9361-DY89-M1TK-00000-00&amp;context=" TargetMode="External" /><Relationship Id="rId258" Type="http://schemas.openxmlformats.org/officeDocument/2006/relationships/hyperlink" Target="https://advance.lexis.com/api/document?collection=cases-ca&amp;id=urn:contentItem:5F7T-S7D1-JXG3-X0YF-00000-00&amp;context=" TargetMode="External" /><Relationship Id="rId259" Type="http://schemas.openxmlformats.org/officeDocument/2006/relationships/hyperlink" Target="https://advance.lexis.com/api/document?collection=cases-ca&amp;id=urn:contentItem:5F7T-S7N1-F06F-24J3-00000-00&amp;context=" TargetMode="External" /><Relationship Id="rId26" Type="http://schemas.openxmlformats.org/officeDocument/2006/relationships/footer" Target="footer4.xml" /><Relationship Id="rId260" Type="http://schemas.openxmlformats.org/officeDocument/2006/relationships/hyperlink" Target="https://advance.lexis.com/api/document?collection=cases-ca&amp;id=urn:contentItem:5F7T-S721-F4NT-X2JP-00000-00&amp;context=" TargetMode="External" /><Relationship Id="rId261" Type="http://schemas.openxmlformats.org/officeDocument/2006/relationships/hyperlink" Target="https://advance.lexis.com/api/document?collection=cases-ca&amp;id=urn:contentItem:5F8T-N3V1-FC1F-M452-00000-00&amp;context=" TargetMode="External" /><Relationship Id="rId262" Type="http://schemas.openxmlformats.org/officeDocument/2006/relationships/hyperlink" Target="https://advance.lexis.com/api/document?collection=cases-ca&amp;id=urn:contentItem:5F7T-S7C1-F7VM-S39R-00000-00&amp;context=" TargetMode="External" /><Relationship Id="rId263" Type="http://schemas.openxmlformats.org/officeDocument/2006/relationships/hyperlink" Target="https://advance.lexis.com/api/document?collection=cases-ca&amp;id=urn:contentItem:5F7T-S7H1-FCSB-S3R7-00000-00&amp;context=" TargetMode="External" /><Relationship Id="rId264" Type="http://schemas.openxmlformats.org/officeDocument/2006/relationships/hyperlink" Target="https://advance.lexis.com/api/document?collection=cases-ca&amp;id=urn:contentItem:5F7T-S731-JC0G-63NY-00000-00&amp;context=" TargetMode="External" /><Relationship Id="rId265" Type="http://schemas.openxmlformats.org/officeDocument/2006/relationships/hyperlink" Target="https://advance.lexis.com/api/document?collection=cases-ca&amp;id=urn:contentItem:5F7T-S721-FD4T-B0NR-00000-00&amp;context=" TargetMode="External" /><Relationship Id="rId266" Type="http://schemas.openxmlformats.org/officeDocument/2006/relationships/header" Target="header43.xml" /><Relationship Id="rId267" Type="http://schemas.openxmlformats.org/officeDocument/2006/relationships/header" Target="header44.xml" /><Relationship Id="rId268" Type="http://schemas.openxmlformats.org/officeDocument/2006/relationships/footer" Target="footer43.xml" /><Relationship Id="rId269" Type="http://schemas.openxmlformats.org/officeDocument/2006/relationships/footer" Target="footer44.xml" /><Relationship Id="rId27" Type="http://schemas.openxmlformats.org/officeDocument/2006/relationships/footer" Target="footer5.xml" /><Relationship Id="rId270" Type="http://schemas.openxmlformats.org/officeDocument/2006/relationships/header" Target="header45.xml" /><Relationship Id="rId271" Type="http://schemas.openxmlformats.org/officeDocument/2006/relationships/footer" Target="footer45.xml" /><Relationship Id="rId272" Type="http://schemas.openxmlformats.org/officeDocument/2006/relationships/hyperlink" Target="https://advance.lexis.com/api/document?collection=cases-ca&amp;id=urn:contentItem:5G8T-89T1-JNCK-22VN-00000-00&amp;context=" TargetMode="External" /><Relationship Id="rId273" Type="http://schemas.openxmlformats.org/officeDocument/2006/relationships/hyperlink" Target="https://advance.lexis.com/api/document?collection=cases-ca&amp;id=urn:contentItem:5F7T-S7N1-JWR6-S2C9-00000-00&amp;context=" TargetMode="External" /><Relationship Id="rId274" Type="http://schemas.openxmlformats.org/officeDocument/2006/relationships/hyperlink" Target="https://advance.lexis.com/api/document?collection=cases-ca&amp;id=urn:contentItem:5F7T-S741-DXPM-S10V-00000-00&amp;context=" TargetMode="External" /><Relationship Id="rId275" Type="http://schemas.openxmlformats.org/officeDocument/2006/relationships/hyperlink" Target="https://advance.lexis.com/api/document?collection=cases-ca&amp;id=urn:contentItem:5F7T-S7J1-JGBH-B2CR-00000-00&amp;context=" TargetMode="External" /><Relationship Id="rId276" Type="http://schemas.openxmlformats.org/officeDocument/2006/relationships/hyperlink" Target="https://advance.lexis.com/api/document?collection=cases-ca&amp;id=urn:contentItem:5F8T-N3V1-JF75-M3D0-00000-00&amp;context=" TargetMode="External" /><Relationship Id="rId277" Type="http://schemas.openxmlformats.org/officeDocument/2006/relationships/hyperlink" Target="https://advance.lexis.com/api/document?collection=cases-ca&amp;id=urn:contentItem:5F8T-N3V1-JF75-M3MT-00000-00&amp;context=" TargetMode="External" /><Relationship Id="rId278" Type="http://schemas.openxmlformats.org/officeDocument/2006/relationships/hyperlink" Target="https://advance.lexis.com/api/document?collection=cases-ca&amp;id=urn:contentItem:5F8T-N3V1-JF75-M3CT-00000-00&amp;context=" TargetMode="External" /><Relationship Id="rId279" Type="http://schemas.openxmlformats.org/officeDocument/2006/relationships/hyperlink" Target="https://advance.lexis.com/api/document?collection=cases-ca&amp;id=urn:contentItem:5F8T-N3V1-FC1F-M461-00000-00&amp;context=" TargetMode="External" /><Relationship Id="rId28" Type="http://schemas.openxmlformats.org/officeDocument/2006/relationships/header" Target="header6.xml" /><Relationship Id="rId280" Type="http://schemas.openxmlformats.org/officeDocument/2006/relationships/hyperlink" Target="https://advance.lexis.com/api/document?collection=cases-ca&amp;id=urn:contentItem:5F8P-SGB1-JCJ5-20KM-00000-00&amp;context=" TargetMode="External" /><Relationship Id="rId281" Type="http://schemas.openxmlformats.org/officeDocument/2006/relationships/header" Target="header46.xml" /><Relationship Id="rId282" Type="http://schemas.openxmlformats.org/officeDocument/2006/relationships/header" Target="header47.xml" /><Relationship Id="rId283" Type="http://schemas.openxmlformats.org/officeDocument/2006/relationships/footer" Target="footer46.xml" /><Relationship Id="rId284" Type="http://schemas.openxmlformats.org/officeDocument/2006/relationships/footer" Target="footer47.xml" /><Relationship Id="rId285" Type="http://schemas.openxmlformats.org/officeDocument/2006/relationships/header" Target="header48.xml" /><Relationship Id="rId286" Type="http://schemas.openxmlformats.org/officeDocument/2006/relationships/footer" Target="footer48.xml" /><Relationship Id="rId287" Type="http://schemas.openxmlformats.org/officeDocument/2006/relationships/hyperlink" Target="https://advance.lexis.com/api/document?collection=cases-ca&amp;id=urn:contentItem:5GCC-XVB1-JGHR-M4PY-00000-00&amp;context=" TargetMode="External" /><Relationship Id="rId288" Type="http://schemas.openxmlformats.org/officeDocument/2006/relationships/hyperlink" Target="https://advance.lexis.com/api/document?collection=cases-ca&amp;id=urn:contentItem:5F7T-S7P1-JNJT-B2CM-00000-00&amp;context=" TargetMode="External" /><Relationship Id="rId289" Type="http://schemas.openxmlformats.org/officeDocument/2006/relationships/hyperlink" Target="https://advance.lexis.com/api/document?collection=cases-ca&amp;id=urn:contentItem:5F7T-S7D1-DY89-M463-00000-00&amp;context=" TargetMode="External" /><Relationship Id="rId29" Type="http://schemas.openxmlformats.org/officeDocument/2006/relationships/footer" Target="footer6.xml" /><Relationship Id="rId290" Type="http://schemas.openxmlformats.org/officeDocument/2006/relationships/hyperlink" Target="https://advance.lexis.com/api/document?collection=cases-ca&amp;id=urn:contentItem:5F7T-S731-F60C-X1DC-00000-00&amp;context=" TargetMode="External" /><Relationship Id="rId291" Type="http://schemas.openxmlformats.org/officeDocument/2006/relationships/hyperlink" Target="https://advance.lexis.com/api/document?collection=cases-ca&amp;id=urn:contentItem:5F7T-S771-JN14-G2PR-00000-00&amp;context=" TargetMode="External" /><Relationship Id="rId292" Type="http://schemas.openxmlformats.org/officeDocument/2006/relationships/hyperlink" Target="https://advance.lexis.com/api/document?collection=cases-ca&amp;id=urn:contentItem:5F7T-S731-DY33-B0YN-00000-00&amp;context=" TargetMode="External" /><Relationship Id="rId293" Type="http://schemas.openxmlformats.org/officeDocument/2006/relationships/hyperlink" Target="https://advance.lexis.com/api/document?collection=cases-ca&amp;id=urn:contentItem:5F7T-S731-F1WF-M2HD-00000-00&amp;context=" TargetMode="External" /><Relationship Id="rId294" Type="http://schemas.openxmlformats.org/officeDocument/2006/relationships/hyperlink" Target="https://advance.lexis.com/api/document?collection=cases-ca&amp;id=urn:contentItem:5F7T-S7M1-F4W2-62J1-00000-00&amp;context=" TargetMode="External" /><Relationship Id="rId295" Type="http://schemas.openxmlformats.org/officeDocument/2006/relationships/hyperlink" Target="https://advance.lexis.com/api/document?collection=cases-ca&amp;id=urn:contentItem:5F7T-S7H1-FCSB-S3RY-00000-00&amp;context=" TargetMode="External" /><Relationship Id="rId296" Type="http://schemas.openxmlformats.org/officeDocument/2006/relationships/hyperlink" Target="https://advance.lexis.com/api/document?collection=cases-ca&amp;id=urn:contentItem:5F7T-S7M1-DYMS-62B6-00000-00&amp;context=" TargetMode="External" /><Relationship Id="rId297" Type="http://schemas.openxmlformats.org/officeDocument/2006/relationships/hyperlink" Target="https://advance.lexis.com/api/document?collection=cases-ca&amp;id=urn:contentItem:5F7T-S7H1-JS5Y-B37C-00000-00&amp;context=" TargetMode="External" /><Relationship Id="rId298" Type="http://schemas.openxmlformats.org/officeDocument/2006/relationships/header" Target="header49.xml" /><Relationship Id="rId299" Type="http://schemas.openxmlformats.org/officeDocument/2006/relationships/header" Target="header50.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K1-JWXF-210S-00000-00&amp;context=" TargetMode="External" /><Relationship Id="rId300" Type="http://schemas.openxmlformats.org/officeDocument/2006/relationships/footer" Target="footer49.xml" /><Relationship Id="rId301" Type="http://schemas.openxmlformats.org/officeDocument/2006/relationships/footer" Target="footer50.xml" /><Relationship Id="rId302" Type="http://schemas.openxmlformats.org/officeDocument/2006/relationships/header" Target="header51.xml" /><Relationship Id="rId303" Type="http://schemas.openxmlformats.org/officeDocument/2006/relationships/footer" Target="footer51.xml" /><Relationship Id="rId304" Type="http://schemas.openxmlformats.org/officeDocument/2006/relationships/hyperlink" Target="https://advance.lexis.com/api/document?collection=cases-ca&amp;id=urn:contentItem:5F7T-S7F1-JFKM-61YH-00000-00&amp;context=" TargetMode="External" /><Relationship Id="rId305" Type="http://schemas.openxmlformats.org/officeDocument/2006/relationships/hyperlink" Target="https://advance.lexis.com/api/document?collection=cases-ca&amp;id=urn:contentItem:5K6Y-81M1-JGPY-X200-00000-00&amp;context=" TargetMode="External" /><Relationship Id="rId306" Type="http://schemas.openxmlformats.org/officeDocument/2006/relationships/hyperlink" Target="https://advance.lexis.com/api/document?collection=cases-ca&amp;id=urn:contentItem:5F7T-S7D1-JG02-S2WV-00000-00&amp;context=" TargetMode="External" /><Relationship Id="rId307" Type="http://schemas.openxmlformats.org/officeDocument/2006/relationships/hyperlink" Target="https://advance.lexis.com/api/document?collection=cases-ca&amp;id=urn:contentItem:5F7T-S7F1-JK4W-M1NF-00000-00&amp;context=" TargetMode="External" /><Relationship Id="rId308" Type="http://schemas.openxmlformats.org/officeDocument/2006/relationships/hyperlink" Target="https://advance.lexis.com/api/document?collection=cases-ca&amp;id=urn:contentItem:5F7T-S7F1-JK4W-M1D6-00000-00&amp;context=" TargetMode="External" /><Relationship Id="rId309" Type="http://schemas.openxmlformats.org/officeDocument/2006/relationships/hyperlink" Target="https://advance.lexis.com/api/document?collection=cases-ca&amp;id=urn:contentItem:5F7T-S7F1-FFFC-B20P-00000-00&amp;context=" TargetMode="External" /><Relationship Id="rId31" Type="http://schemas.openxmlformats.org/officeDocument/2006/relationships/hyperlink" Target="https://advance.lexis.com/api/document?collection=cases-ca&amp;id=urn:contentItem:5F81-VJX1-F5T5-M4HH-00000-00&amp;context=" TargetMode="External" /><Relationship Id="rId310" Type="http://schemas.openxmlformats.org/officeDocument/2006/relationships/hyperlink" Target="https://advance.lexis.com/api/document?collection=cases-ca&amp;id=urn:contentItem:5F7T-S7C1-JSRM-60RD-00000-00&amp;context=" TargetMode="External" /><Relationship Id="rId311" Type="http://schemas.openxmlformats.org/officeDocument/2006/relationships/hyperlink" Target="https://advance.lexis.com/api/document?collection=cases-ca&amp;id=urn:contentItem:5F7T-S7D1-FFFC-B149-00000-00&amp;context=" TargetMode="External" /><Relationship Id="rId312" Type="http://schemas.openxmlformats.org/officeDocument/2006/relationships/hyperlink" Target="https://advance.lexis.com/api/document?collection=cases-ca&amp;id=urn:contentItem:5F7T-S7C1-F7VM-S38V-00000-00&amp;context=" TargetMode="External" /><Relationship Id="rId313" Type="http://schemas.openxmlformats.org/officeDocument/2006/relationships/hyperlink" Target="https://advance.lexis.com/api/document?collection=cases-ca&amp;id=urn:contentItem:5F7H-KW91-DYFH-X0WD-00000-00&amp;context=" TargetMode="External" /><Relationship Id="rId314" Type="http://schemas.openxmlformats.org/officeDocument/2006/relationships/hyperlink" Target="https://advance.lexis.com/api/document?collection=cases-ca&amp;id=urn:contentItem:5F7T-S771-F81W-22B0-00000-00&amp;context=" TargetMode="External" /><Relationship Id="rId315" Type="http://schemas.openxmlformats.org/officeDocument/2006/relationships/hyperlink" Target="https://advance.lexis.com/api/document?collection=cases-ca&amp;id=urn:contentItem:5F7T-S721-FD4T-B0YR-00000-00&amp;context=" TargetMode="External" /><Relationship Id="rId316" Type="http://schemas.openxmlformats.org/officeDocument/2006/relationships/hyperlink" Target="https://advance.lexis.com/api/document?collection=cases-ca&amp;id=urn:contentItem:5F7T-S7C1-JCJ5-2099-00000-00&amp;context=" TargetMode="External" /><Relationship Id="rId317" Type="http://schemas.openxmlformats.org/officeDocument/2006/relationships/hyperlink" Target="https://advance.lexis.com/api/document?collection=cases-ca&amp;id=urn:contentItem:5F7T-S771-JSJC-X05N-00000-00&amp;context=" TargetMode="External" /><Relationship Id="rId318" Type="http://schemas.openxmlformats.org/officeDocument/2006/relationships/header" Target="header52.xml" /><Relationship Id="rId319" Type="http://schemas.openxmlformats.org/officeDocument/2006/relationships/header" Target="header53.xml" /><Relationship Id="rId32" Type="http://schemas.openxmlformats.org/officeDocument/2006/relationships/hyperlink" Target="https://advance.lexis.com/api/document?collection=cases-ca&amp;id=urn:contentItem:5F8P-SF01-JTGH-B3R6-00000-00&amp;context=" TargetMode="External" /><Relationship Id="rId320" Type="http://schemas.openxmlformats.org/officeDocument/2006/relationships/footer" Target="footer52.xml" /><Relationship Id="rId321" Type="http://schemas.openxmlformats.org/officeDocument/2006/relationships/footer" Target="footer53.xml" /><Relationship Id="rId322" Type="http://schemas.openxmlformats.org/officeDocument/2006/relationships/header" Target="header54.xml" /><Relationship Id="rId323" Type="http://schemas.openxmlformats.org/officeDocument/2006/relationships/footer" Target="footer54.xml" /><Relationship Id="rId324" Type="http://schemas.openxmlformats.org/officeDocument/2006/relationships/hyperlink" Target="https://advance.lexis.com/api/document?collection=cases-ca&amp;id=urn:contentItem:5F7T-S7G1-JX3N-B2FP-00000-00&amp;context=" TargetMode="External" /><Relationship Id="rId325" Type="http://schemas.openxmlformats.org/officeDocument/2006/relationships/hyperlink" Target="https://advance.lexis.com/api/document?collection=legislation-ca&amp;id=urn:contentItem:5F41-1FJ1-JPGX-S0S6-00000-00&amp;context=" TargetMode="External" /><Relationship Id="rId326" Type="http://schemas.openxmlformats.org/officeDocument/2006/relationships/hyperlink" Target="https://advance.lexis.com/api/document?collection=cases-ca&amp;id=urn:contentItem:5F7T-S731-FFFC-B0FN-00000-00&amp;context=" TargetMode="External" /><Relationship Id="rId327" Type="http://schemas.openxmlformats.org/officeDocument/2006/relationships/hyperlink" Target="https://advance.lexis.com/api/document?collection=cases-ca&amp;id=urn:contentItem:5F7T-S751-JBM1-M231-00000-00&amp;context=" TargetMode="External" /><Relationship Id="rId328" Type="http://schemas.openxmlformats.org/officeDocument/2006/relationships/hyperlink" Target="https://advance.lexis.com/api/document?collection=cases-ca&amp;id=urn:contentItem:5F7T-S761-JS5Y-B1XR-00000-00&amp;context=" TargetMode="External" /><Relationship Id="rId329" Type="http://schemas.openxmlformats.org/officeDocument/2006/relationships/hyperlink" Target="https://advance.lexis.com/api/document?collection=cases-ca&amp;id=urn:contentItem:5F7T-S771-JW5H-X22W-00000-00&amp;context=" TargetMode="External" /><Relationship Id="rId33" Type="http://schemas.openxmlformats.org/officeDocument/2006/relationships/hyperlink" Target="https://advance.lexis.com/api/document?collection=cases-ca&amp;id=urn:contentItem:5F8P-SDD1-F65M-63GH-00000-00&amp;context=" TargetMode="External" /><Relationship Id="rId330" Type="http://schemas.openxmlformats.org/officeDocument/2006/relationships/hyperlink" Target="https://advance.lexis.com/api/document?collection=cases-ca&amp;id=urn:contentItem:5F7T-S7D1-DY89-M44T-00000-00&amp;context=" TargetMode="External" /><Relationship Id="rId331" Type="http://schemas.openxmlformats.org/officeDocument/2006/relationships/hyperlink" Target="https://advance.lexis.com/api/document?collection=cases-ca&amp;id=urn:contentItem:5F7T-S7D1-JN6B-S0VR-00000-00&amp;context=" TargetMode="External" /><Relationship Id="rId332" Type="http://schemas.openxmlformats.org/officeDocument/2006/relationships/header" Target="header55.xml" /><Relationship Id="rId333" Type="http://schemas.openxmlformats.org/officeDocument/2006/relationships/header" Target="header56.xml" /><Relationship Id="rId334" Type="http://schemas.openxmlformats.org/officeDocument/2006/relationships/footer" Target="footer55.xml" /><Relationship Id="rId335" Type="http://schemas.openxmlformats.org/officeDocument/2006/relationships/footer" Target="footer56.xml" /><Relationship Id="rId336" Type="http://schemas.openxmlformats.org/officeDocument/2006/relationships/header" Target="header57.xml" /><Relationship Id="rId337" Type="http://schemas.openxmlformats.org/officeDocument/2006/relationships/footer" Target="footer57.xml" /><Relationship Id="rId338" Type="http://schemas.openxmlformats.org/officeDocument/2006/relationships/hyperlink" Target="https://advance.lexis.com/api/document?collection=cases-ca&amp;id=urn:contentItem:5F7T-S7N1-JC5P-G20F-00000-00&amp;context=" TargetMode="External" /><Relationship Id="rId339" Type="http://schemas.openxmlformats.org/officeDocument/2006/relationships/hyperlink" Target="https://advance.lexis.com/api/document?collection=legislation-ca&amp;id=urn:contentItem:5X64-9P71-F016-S10V-00000-00&amp;context=" TargetMode="External" /><Relationship Id="rId34" Type="http://schemas.openxmlformats.org/officeDocument/2006/relationships/hyperlink" Target="https://advance.lexis.com/api/document?collection=cases-ca&amp;id=urn:contentItem:5F8P-SCP1-FCYK-214H-00000-00&amp;context=" TargetMode="External" /><Relationship Id="rId340" Type="http://schemas.openxmlformats.org/officeDocument/2006/relationships/hyperlink" Target="https://advance.lexis.com/api/document?collection=legislation-ca&amp;id=urn:contentItem:5F41-1FG1-JGHR-M2RN-00000-00&amp;context=" TargetMode="External" /><Relationship Id="rId341" Type="http://schemas.openxmlformats.org/officeDocument/2006/relationships/hyperlink" Target="https://advance.lexis.com/api/document?collection=cases-ca&amp;id=urn:contentItem:5F8T-N3V1-JF75-M3JV-00000-00&amp;context=" TargetMode="External" /><Relationship Id="rId342" Type="http://schemas.openxmlformats.org/officeDocument/2006/relationships/hyperlink" Target="https://advance.lexis.com/api/document?collection=cases-ca&amp;id=urn:contentItem:5F8T-N3V1-JF75-M3JW-00000-00&amp;context=" TargetMode="External" /><Relationship Id="rId343" Type="http://schemas.openxmlformats.org/officeDocument/2006/relationships/hyperlink" Target="https://advance.lexis.com/api/document?collection=cases-ca&amp;id=urn:contentItem:5F8T-N3V1-FC1F-M44H-00000-00&amp;context=" TargetMode="External" /><Relationship Id="rId344" Type="http://schemas.openxmlformats.org/officeDocument/2006/relationships/hyperlink" Target="https://advance.lexis.com/api/document?collection=cases-ca&amp;id=urn:contentItem:5F7T-S7F1-F7VM-S428-00000-00&amp;context=" TargetMode="External" /><Relationship Id="rId345" Type="http://schemas.openxmlformats.org/officeDocument/2006/relationships/hyperlink" Target="https://advance.lexis.com/api/document?collection=cases-ca&amp;id=urn:contentItem:5F8N-K701-DYFH-X3D1-00000-00&amp;context=" TargetMode="External" /><Relationship Id="rId346" Type="http://schemas.openxmlformats.org/officeDocument/2006/relationships/hyperlink" Target="https://advance.lexis.com/api/document?collection=cases-ca&amp;id=urn:contentItem:5F7T-S721-FG12-61XM-00000-00&amp;context=" TargetMode="External" /><Relationship Id="rId347" Type="http://schemas.openxmlformats.org/officeDocument/2006/relationships/hyperlink" Target="https://advance.lexis.com/api/document?collection=cases-ca&amp;id=urn:contentItem:5FBJ-YY11-JB2B-S3TK-00000-00&amp;context=" TargetMode="External" /><Relationship Id="rId348" Type="http://schemas.openxmlformats.org/officeDocument/2006/relationships/hyperlink" Target="https://advance.lexis.com/api/document?collection=cases-ca&amp;id=urn:contentItem:5F8P-SFC1-FCK4-G02G-00000-00&amp;context=" TargetMode="External" /><Relationship Id="rId349" Type="http://schemas.openxmlformats.org/officeDocument/2006/relationships/hyperlink" Target="https://advance.lexis.com/api/document?collection=cases-ca&amp;id=urn:contentItem:5F8P-SFG1-JGPY-X0CX-00000-00&amp;context=" TargetMode="External" /><Relationship Id="rId35" Type="http://schemas.openxmlformats.org/officeDocument/2006/relationships/hyperlink" Target="https://advance.lexis.com/api/document?collection=cases-ca&amp;id=urn:contentItem:5F8T-N3S1-JBDT-B035-00000-00&amp;context=" TargetMode="External" /><Relationship Id="rId350" Type="http://schemas.openxmlformats.org/officeDocument/2006/relationships/hyperlink" Target="https://advance.lexis.com/api/document?collection=cases-ca&amp;id=urn:contentItem:5F82-1SJ1-F900-G25T-00000-00&amp;context=" TargetMode="External" /><Relationship Id="rId351" Type="http://schemas.openxmlformats.org/officeDocument/2006/relationships/hyperlink" Target="https://advance.lexis.com/api/document?collection=cases-ca&amp;id=urn:contentItem:5F7T-S7F1-JFKM-61FG-00000-00&amp;context=" TargetMode="External" /><Relationship Id="rId352" Type="http://schemas.openxmlformats.org/officeDocument/2006/relationships/hyperlink" Target="https://advance.lexis.com/api/document?collection=cases-ca&amp;id=urn:contentItem:5F7T-S771-F81W-22SN-00000-00&amp;context=" TargetMode="External" /><Relationship Id="rId353" Type="http://schemas.openxmlformats.org/officeDocument/2006/relationships/hyperlink" Target="https://advance.lexis.com/api/document?collection=cases-ca&amp;id=urn:contentItem:5F7T-S781-JC5P-G1HV-00000-00&amp;context=" TargetMode="External" /><Relationship Id="rId354" Type="http://schemas.openxmlformats.org/officeDocument/2006/relationships/hyperlink" Target="https://advance.lexis.com/api/document?collection=cases-ca&amp;id=urn:contentItem:5F8T-N3R1-JNS1-M18J-00000-00&amp;context=" TargetMode="External" /><Relationship Id="rId355" Type="http://schemas.openxmlformats.org/officeDocument/2006/relationships/hyperlink" Target="https://advance.lexis.com/api/document?collection=cases-ca&amp;id=urn:contentItem:5F7T-XPW1-F1WF-M2N6-00000-00&amp;context=" TargetMode="External" /><Relationship Id="rId356" Type="http://schemas.openxmlformats.org/officeDocument/2006/relationships/hyperlink" Target="https://advance.lexis.com/api/document?collection=cases-ca&amp;id=urn:contentItem:5F81-VJX1-FFTT-X1PN-00000-00&amp;context=" TargetMode="External" /><Relationship Id="rId357" Type="http://schemas.openxmlformats.org/officeDocument/2006/relationships/hyperlink" Target="https://advance.lexis.com/api/document?collection=cases-ca&amp;id=urn:contentItem:5F8P-SFR1-JS5Y-B2M7-00000-00&amp;context=" TargetMode="External" /><Relationship Id="rId358" Type="http://schemas.openxmlformats.org/officeDocument/2006/relationships/hyperlink" Target="https://advance.lexis.com/api/document?collection=cases-ca&amp;id=urn:contentItem:5F7T-S6X1-F7G6-62FS-00000-00&amp;context=" TargetMode="External" /><Relationship Id="rId359" Type="http://schemas.openxmlformats.org/officeDocument/2006/relationships/hyperlink" Target="https://advance.lexis.com/api/document?collection=cases-ca&amp;id=urn:contentItem:5F7T-S6X1-F06F-22NT-00000-00&amp;context=" TargetMode="External" /><Relationship Id="rId36" Type="http://schemas.openxmlformats.org/officeDocument/2006/relationships/hyperlink" Target="https://advance.lexis.com/api/document?collection=cases-ca&amp;id=urn:contentItem:5F7T-S6X1-F1H1-2100-00000-00&amp;context=" TargetMode="External" /><Relationship Id="rId360" Type="http://schemas.openxmlformats.org/officeDocument/2006/relationships/hyperlink" Target="https://advance.lexis.com/api/document?collection=cases-ca&amp;id=urn:contentItem:5F8T-N3T1-JJSF-23B2-00000-00&amp;context=" TargetMode="External" /><Relationship Id="rId361" Type="http://schemas.openxmlformats.org/officeDocument/2006/relationships/hyperlink" Target="https://advance.lexis.com/api/document?collection=cases-ca&amp;id=urn:contentItem:5F81-VJX1-JKPJ-G1H3-00000-00&amp;context=" TargetMode="External" /><Relationship Id="rId362" Type="http://schemas.openxmlformats.org/officeDocument/2006/relationships/hyperlink" Target="https://advance.lexis.com/api/document?collection=cases-ca&amp;id=urn:contentItem:5F8P-SCR1-DY33-B0V9-00000-00&amp;context=" TargetMode="External" /><Relationship Id="rId363" Type="http://schemas.openxmlformats.org/officeDocument/2006/relationships/hyperlink" Target="https://advance.lexis.com/api/document?collection=cases-ca&amp;id=urn:contentItem:5F7T-S7F1-DXWW-244Y-00000-00&amp;context=" TargetMode="External" /><Relationship Id="rId364" Type="http://schemas.openxmlformats.org/officeDocument/2006/relationships/hyperlink" Target="https://advance.lexis.com/api/document?collection=cases-ca&amp;id=urn:contentItem:5F8T-N3V1-FH4C-X1XK-00000-00&amp;context=" TargetMode="External" /><Relationship Id="rId365" Type="http://schemas.openxmlformats.org/officeDocument/2006/relationships/hyperlink" Target="https://advance.lexis.com/api/document?collection=cases-ca&amp;id=urn:contentItem:5F7T-S701-JGPY-X1KR-00000-00&amp;context=" TargetMode="External" /><Relationship Id="rId366" Type="http://schemas.openxmlformats.org/officeDocument/2006/relationships/hyperlink" Target="https://advance.lexis.com/api/document?collection=cases-ca&amp;id=urn:contentItem:5F7T-S6W1-F7ND-G2TP-00000-00&amp;context=" TargetMode="External" /><Relationship Id="rId367" Type="http://schemas.openxmlformats.org/officeDocument/2006/relationships/hyperlink" Target="https://advance.lexis.com/api/document?collection=cases-ca&amp;id=urn:contentItem:5F7T-S7N1-JWR6-S23V-00000-00&amp;context=" TargetMode="External" /><Relationship Id="rId368" Type="http://schemas.openxmlformats.org/officeDocument/2006/relationships/header" Target="header58.xml" /><Relationship Id="rId369" Type="http://schemas.openxmlformats.org/officeDocument/2006/relationships/header" Target="header59.xml" /><Relationship Id="rId37" Type="http://schemas.openxmlformats.org/officeDocument/2006/relationships/header" Target="header7.xml" /><Relationship Id="rId370" Type="http://schemas.openxmlformats.org/officeDocument/2006/relationships/footer" Target="footer58.xml" /><Relationship Id="rId371" Type="http://schemas.openxmlformats.org/officeDocument/2006/relationships/footer" Target="footer59.xml" /><Relationship Id="rId372" Type="http://schemas.openxmlformats.org/officeDocument/2006/relationships/header" Target="header60.xml" /><Relationship Id="rId373" Type="http://schemas.openxmlformats.org/officeDocument/2006/relationships/footer" Target="footer60.xml" /><Relationship Id="rId374" Type="http://schemas.openxmlformats.org/officeDocument/2006/relationships/hyperlink" Target="https://advance.lexis.com/api/document?collection=cases-ca&amp;id=urn:contentItem:5F7T-S7P1-JG02-S4FW-00000-00&amp;context=" TargetMode="External" /><Relationship Id="rId375" Type="http://schemas.openxmlformats.org/officeDocument/2006/relationships/hyperlink" Target="https://advance.lexis.com/api/document?collection=cases-ca&amp;id=urn:contentItem:5F8T-N3V1-JTGH-B1D3-00000-00&amp;context=" TargetMode="External" /><Relationship Id="rId376" Type="http://schemas.openxmlformats.org/officeDocument/2006/relationships/header" Target="header61.xml" /><Relationship Id="rId377" Type="http://schemas.openxmlformats.org/officeDocument/2006/relationships/header" Target="header62.xml" /><Relationship Id="rId378" Type="http://schemas.openxmlformats.org/officeDocument/2006/relationships/footer" Target="footer61.xml" /><Relationship Id="rId379" Type="http://schemas.openxmlformats.org/officeDocument/2006/relationships/footer" Target="footer62.xml" /><Relationship Id="rId38" Type="http://schemas.openxmlformats.org/officeDocument/2006/relationships/header" Target="header8.xml" /><Relationship Id="rId380" Type="http://schemas.openxmlformats.org/officeDocument/2006/relationships/header" Target="header63.xml" /><Relationship Id="rId381" Type="http://schemas.openxmlformats.org/officeDocument/2006/relationships/footer" Target="footer63.xml" /><Relationship Id="rId382" Type="http://schemas.openxmlformats.org/officeDocument/2006/relationships/hyperlink" Target="https://advance.lexis.com/api/document?collection=cases-ca&amp;id=urn:contentItem:5F7T-S7J1-JGBH-B2CS-00000-00&amp;context=" TargetMode="External" /><Relationship Id="rId383" Type="http://schemas.openxmlformats.org/officeDocument/2006/relationships/hyperlink" Target="https://advance.lexis.com/api/document?collection=cases-ca&amp;id=urn:contentItem:5K6Y-81M1-DXHD-G2RX-00000-00&amp;context=" TargetMode="External" /><Relationship Id="rId384" Type="http://schemas.openxmlformats.org/officeDocument/2006/relationships/hyperlink" Target="https://advance.lexis.com/api/document?collection=legislation-ca&amp;id=urn:contentItem:5F41-1FH1-JSRM-60KK-00000-00&amp;context=" TargetMode="External" /><Relationship Id="rId385" Type="http://schemas.openxmlformats.org/officeDocument/2006/relationships/hyperlink" Target="https://advance.lexis.com/api/document?collection=cases-ca&amp;id=urn:contentItem:5F7T-S711-F5KY-B13W-00000-00&amp;context=" TargetMode="External" /><Relationship Id="rId386" Type="http://schemas.openxmlformats.org/officeDocument/2006/relationships/hyperlink" Target="https://advance.lexis.com/api/document?collection=cases-ca&amp;id=urn:contentItem:5F7T-S7B1-F7ND-G55P-00000-00&amp;context=" TargetMode="External" /><Relationship Id="rId387" Type="http://schemas.openxmlformats.org/officeDocument/2006/relationships/hyperlink" Target="https://advance.lexis.com/api/document?collection=cases-ca&amp;id=urn:contentItem:5F7T-S741-F8D9-M1VS-00000-00&amp;context=" TargetMode="External" /><Relationship Id="rId388" Type="http://schemas.openxmlformats.org/officeDocument/2006/relationships/hyperlink" Target="https://advance.lexis.com/api/document?collection=cases-ca&amp;id=urn:contentItem:5F16-9371-JKHB-62S4-00000-00&amp;context=" TargetMode="External" /><Relationship Id="rId389" Type="http://schemas.openxmlformats.org/officeDocument/2006/relationships/hyperlink" Target="https://advance.lexis.com/api/document?collection=cases-ca&amp;id=urn:contentItem:5F16-9391-JWR6-S4FW-00000-00&amp;context=" TargetMode="External" /><Relationship Id="rId39" Type="http://schemas.openxmlformats.org/officeDocument/2006/relationships/footer" Target="footer7.xml" /><Relationship Id="rId390" Type="http://schemas.openxmlformats.org/officeDocument/2006/relationships/hyperlink" Target="https://advance.lexis.com/api/document?collection=cases-ca&amp;id=urn:contentItem:5F8T-N3R1-FBV7-B008-00000-00&amp;context=" TargetMode="External" /><Relationship Id="rId391" Type="http://schemas.openxmlformats.org/officeDocument/2006/relationships/hyperlink" Target="https://advance.lexis.com/api/document?collection=cases-ca&amp;id=urn:contentItem:5F16-93B1-JKB3-X3W0-00000-00&amp;context=" TargetMode="External" /><Relationship Id="rId392" Type="http://schemas.openxmlformats.org/officeDocument/2006/relationships/hyperlink" Target="https://advance.lexis.com/api/document?collection=cases-ca&amp;id=urn:contentItem:5F7T-S7J1-JYYX-629W-00000-00&amp;context=" TargetMode="External" /><Relationship Id="rId393" Type="http://schemas.openxmlformats.org/officeDocument/2006/relationships/hyperlink" Target="https://advance.lexis.com/api/document?collection=cases-ca&amp;id=urn:contentItem:5F7T-S741-F1H1-21DT-00000-00&amp;context=" TargetMode="External" /><Relationship Id="rId394" Type="http://schemas.openxmlformats.org/officeDocument/2006/relationships/hyperlink" Target="https://advance.lexis.com/api/document?collection=cases-ca&amp;id=urn:contentItem:5F8T-N3R1-FJDY-X3BM-00000-00&amp;context=" TargetMode="External" /><Relationship Id="rId395" Type="http://schemas.openxmlformats.org/officeDocument/2006/relationships/hyperlink" Target="https://advance.lexis.com/api/document?collection=cases-ca&amp;id=urn:contentItem:5F7T-S771-F2TK-22YM-00000-00&amp;context=" TargetMode="External" /><Relationship Id="rId396" Type="http://schemas.openxmlformats.org/officeDocument/2006/relationships/hyperlink" Target="https://advance.lexis.com/api/document?collection=cases-ca&amp;id=urn:contentItem:5F7T-S781-F7G6-639N-00000-00&amp;context=" TargetMode="External" /><Relationship Id="rId397" Type="http://schemas.openxmlformats.org/officeDocument/2006/relationships/hyperlink" Target="https://advance.lexis.com/api/document?collection=cases-ca&amp;id=urn:contentItem:5F7T-S791-JCJ5-250M-00000-00&amp;context=" TargetMode="External" /><Relationship Id="rId398" Type="http://schemas.openxmlformats.org/officeDocument/2006/relationships/hyperlink" Target="https://advance.lexis.com/api/document?collection=cases-ca&amp;id=urn:contentItem:5F7T-S7D1-JS5Y-B2G1-00000-00&amp;context=" TargetMode="External" /><Relationship Id="rId399" Type="http://schemas.openxmlformats.org/officeDocument/2006/relationships/hyperlink" Target="https://advance.lexis.com/api/document?collection=cases-ca&amp;id=urn:contentItem:5F7T-S7H1-JS5Y-B2P1-00000-00&amp;context=" TargetMode="External" /><Relationship Id="rId4" Type="http://schemas.openxmlformats.org/officeDocument/2006/relationships/header" Target="header1.xml" /><Relationship Id="rId40" Type="http://schemas.openxmlformats.org/officeDocument/2006/relationships/footer" Target="footer8.xml" /><Relationship Id="rId400" Type="http://schemas.openxmlformats.org/officeDocument/2006/relationships/hyperlink" Target="https://advance.lexis.com/api/document?collection=cases-ca&amp;id=urn:contentItem:5F7T-S7G1-JX3N-B2JF-00000-00&amp;context=" TargetMode="External" /><Relationship Id="rId401" Type="http://schemas.openxmlformats.org/officeDocument/2006/relationships/hyperlink" Target="https://advance.lexis.com/api/document?collection=cases-ca&amp;id=urn:contentItem:5F16-9391-JWR6-S4FX-00000-00&amp;context=" TargetMode="External" /><Relationship Id="rId402" Type="http://schemas.openxmlformats.org/officeDocument/2006/relationships/header" Target="header64.xml" /><Relationship Id="rId403" Type="http://schemas.openxmlformats.org/officeDocument/2006/relationships/header" Target="header65.xml" /><Relationship Id="rId404" Type="http://schemas.openxmlformats.org/officeDocument/2006/relationships/footer" Target="footer64.xml" /><Relationship Id="rId405" Type="http://schemas.openxmlformats.org/officeDocument/2006/relationships/footer" Target="footer65.xml" /><Relationship Id="rId406" Type="http://schemas.openxmlformats.org/officeDocument/2006/relationships/header" Target="header66.xml" /><Relationship Id="rId407" Type="http://schemas.openxmlformats.org/officeDocument/2006/relationships/footer" Target="footer66.xml" /><Relationship Id="rId408" Type="http://schemas.openxmlformats.org/officeDocument/2006/relationships/hyperlink" Target="https://advance.lexis.com/api/document?collection=cases-ca&amp;id=urn:contentItem:5F7T-S781-DYMS-61P8-00000-00&amp;context=" TargetMode="External" /><Relationship Id="rId409" Type="http://schemas.openxmlformats.org/officeDocument/2006/relationships/hyperlink" Target="https://advance.lexis.com/api/document?collection=cases-ca&amp;id=urn:contentItem:5F8T-N3V1-JF75-M3CF-00000-00&amp;context=" TargetMode="External" /><Relationship Id="rId41" Type="http://schemas.openxmlformats.org/officeDocument/2006/relationships/header" Target="header9.xml" /><Relationship Id="rId410" Type="http://schemas.openxmlformats.org/officeDocument/2006/relationships/hyperlink" Target="https://advance.lexis.com/api/document?collection=cases-ca&amp;id=urn:contentItem:5F8T-N3T1-JFKM-652N-00000-00&amp;context=" TargetMode="External" /><Relationship Id="rId411" Type="http://schemas.openxmlformats.org/officeDocument/2006/relationships/hyperlink" Target="https://advance.lexis.com/api/document?collection=cases-ca&amp;id=urn:contentItem:5F8T-N3V1-FC1F-M44F-00000-00&amp;context=" TargetMode="External" /><Relationship Id="rId412" Type="http://schemas.openxmlformats.org/officeDocument/2006/relationships/header" Target="header67.xml" /><Relationship Id="rId413" Type="http://schemas.openxmlformats.org/officeDocument/2006/relationships/header" Target="header68.xml" /><Relationship Id="rId414" Type="http://schemas.openxmlformats.org/officeDocument/2006/relationships/footer" Target="footer67.xml" /><Relationship Id="rId415" Type="http://schemas.openxmlformats.org/officeDocument/2006/relationships/footer" Target="footer68.xml" /><Relationship Id="rId416" Type="http://schemas.openxmlformats.org/officeDocument/2006/relationships/header" Target="header69.xml" /><Relationship Id="rId417" Type="http://schemas.openxmlformats.org/officeDocument/2006/relationships/footer" Target="footer69.xml" /><Relationship Id="rId418" Type="http://schemas.openxmlformats.org/officeDocument/2006/relationships/hyperlink" Target="https://advance.lexis.com/api/document?collection=cases-ca&amp;id=urn:contentItem:5F7T-S7G1-JNY7-X43W-00000-00&amp;context=" TargetMode="External" /><Relationship Id="rId419" Type="http://schemas.openxmlformats.org/officeDocument/2006/relationships/hyperlink" Target="https://advance.lexis.com/api/document?collection=cases-ca&amp;id=urn:contentItem:5K6Y-81M1-JGPY-X205-00000-00&amp;context=" TargetMode="External" /><Relationship Id="rId42" Type="http://schemas.openxmlformats.org/officeDocument/2006/relationships/footer" Target="footer9.xml" /><Relationship Id="rId420" Type="http://schemas.openxmlformats.org/officeDocument/2006/relationships/hyperlink" Target="https://advance.lexis.com/api/document?collection=cases-ca&amp;id=urn:contentItem:5F7T-S7D1-DY89-M4DP-00000-00&amp;context=" TargetMode="External" /><Relationship Id="rId421" Type="http://schemas.openxmlformats.org/officeDocument/2006/relationships/hyperlink" Target="https://advance.lexis.com/api/document?collection=cases-ca&amp;id=urn:contentItem:5F8N-K731-F361-M0WK-00000-00&amp;context=" TargetMode="External" /><Relationship Id="rId422" Type="http://schemas.openxmlformats.org/officeDocument/2006/relationships/hyperlink" Target="https://advance.lexis.com/api/document?collection=cases-ca&amp;id=urn:contentItem:5F8N-K6T1-FG12-6298-00000-00&amp;context=" TargetMode="External" /><Relationship Id="rId423" Type="http://schemas.openxmlformats.org/officeDocument/2006/relationships/hyperlink" Target="https://advance.lexis.com/api/document?collection=cases-ca&amp;id=urn:contentItem:5F7T-S7F1-DXWW-242B-00000-00&amp;context=" TargetMode="External" /><Relationship Id="rId424" Type="http://schemas.openxmlformats.org/officeDocument/2006/relationships/hyperlink" Target="https://advance.lexis.com/api/document?collection=cases-ca&amp;id=urn:contentItem:5F81-YH21-JPGX-S0F9-00000-00&amp;context=" TargetMode="External" /><Relationship Id="rId425" Type="http://schemas.openxmlformats.org/officeDocument/2006/relationships/hyperlink" Target="https://advance.lexis.com/api/document?collection=cases-ca&amp;id=urn:contentItem:5F7T-S7D1-DY89-M3VJ-00000-00&amp;context=" TargetMode="External" /><Relationship Id="rId426" Type="http://schemas.openxmlformats.org/officeDocument/2006/relationships/hyperlink" Target="https://advance.lexis.com/api/document?collection=cases-ca&amp;id=urn:contentItem:5F7T-S7F1-DXWW-249J-00000-00&amp;context=" TargetMode="External" /><Relationship Id="rId427" Type="http://schemas.openxmlformats.org/officeDocument/2006/relationships/hyperlink" Target="https://advance.lexis.com/api/document?collection=cases-ca&amp;id=urn:contentItem:5F7T-S791-FJTD-G2PP-00000-00&amp;context=" TargetMode="External" /><Relationship Id="rId428" Type="http://schemas.openxmlformats.org/officeDocument/2006/relationships/hyperlink" Target="https://advance.lexis.com/api/document?collection=cases-ca&amp;id=urn:contentItem:5F7T-S7F1-JK4W-M1CF-00000-00&amp;context=" TargetMode="External" /><Relationship Id="rId429" Type="http://schemas.openxmlformats.org/officeDocument/2006/relationships/hyperlink" Target="https://advance.lexis.com/api/document?collection=cases-ca&amp;id=urn:contentItem:5F7T-S781-F7G6-63NT-00000-00&amp;context=" TargetMode="External" /><Relationship Id="rId43" Type="http://schemas.openxmlformats.org/officeDocument/2006/relationships/hyperlink" Target="https://advance.lexis.com/api/document?collection=cases-ca&amp;id=urn:contentItem:5F7T-S7D1-FFFC-B13B-00000-00&amp;context=" TargetMode="External" /><Relationship Id="rId430" Type="http://schemas.openxmlformats.org/officeDocument/2006/relationships/hyperlink" Target="https://advance.lexis.com/api/document?collection=cases-ca&amp;id=urn:contentItem:5F82-1SF1-JXG3-X2CR-00000-00&amp;context=" TargetMode="External" /><Relationship Id="rId431" Type="http://schemas.openxmlformats.org/officeDocument/2006/relationships/hyperlink" Target="https://advance.lexis.com/api/document?collection=cases-ca&amp;id=urn:contentItem:5F8T-N3T1-JJSF-2361-00000-00&amp;context=" TargetMode="External" /><Relationship Id="rId432" Type="http://schemas.openxmlformats.org/officeDocument/2006/relationships/hyperlink" Target="https://advance.lexis.com/api/document?collection=cases-ca&amp;id=urn:contentItem:5F8T-N3S1-JT99-250X-00000-00&amp;context=" TargetMode="External" /><Relationship Id="rId433" Type="http://schemas.openxmlformats.org/officeDocument/2006/relationships/hyperlink" Target="https://advance.lexis.com/api/document?collection=cases-ca&amp;id=urn:contentItem:5F7T-S7C1-F7VM-S3T7-00000-00&amp;context=" TargetMode="External" /><Relationship Id="rId434" Type="http://schemas.openxmlformats.org/officeDocument/2006/relationships/hyperlink" Target="https://advance.lexis.com/api/document?collection=cases-ca&amp;id=urn:contentItem:5F7T-S7D1-JN6B-S131-00000-00&amp;context=" TargetMode="External" /><Relationship Id="rId435" Type="http://schemas.openxmlformats.org/officeDocument/2006/relationships/hyperlink" Target="https://advance.lexis.com/api/document?collection=cases-ca&amp;id=urn:contentItem:5F7T-S741-F8D9-M1B2-00000-00&amp;context=" TargetMode="External" /><Relationship Id="rId436" Type="http://schemas.openxmlformats.org/officeDocument/2006/relationships/hyperlink" Target="https://advance.lexis.com/api/document?collection=cases-ca&amp;id=urn:contentItem:5F7T-S741-F2F4-G2DC-00000-00&amp;context=" TargetMode="External" /><Relationship Id="rId437" Type="http://schemas.openxmlformats.org/officeDocument/2006/relationships/hyperlink" Target="https://advance.lexis.com/api/document?collection=cases-ca&amp;id=urn:contentItem:5F7T-S7F1-JK4W-M1T2-00000-00&amp;context=" TargetMode="External" /><Relationship Id="rId438" Type="http://schemas.openxmlformats.org/officeDocument/2006/relationships/hyperlink" Target="https://advance.lexis.com/api/document?collection=cases-ca&amp;id=urn:contentItem:5F7T-S761-JGHR-M2KY-00000-00&amp;context=" TargetMode="External" /><Relationship Id="rId439" Type="http://schemas.openxmlformats.org/officeDocument/2006/relationships/hyperlink" Target="https://advance.lexis.com/api/document?collection=cases-ca&amp;id=urn:contentItem:5F7T-S7F1-DXWW-240P-00000-00&amp;context=" TargetMode="External" /><Relationship Id="rId44" Type="http://schemas.openxmlformats.org/officeDocument/2006/relationships/hyperlink" Target="https://advance.lexis.com/api/document?collection=cases-ca&amp;id=urn:contentItem:5F7T-S701-JF75-M4DT-00000-00&amp;context=" TargetMode="External" /><Relationship Id="rId440" Type="http://schemas.openxmlformats.org/officeDocument/2006/relationships/hyperlink" Target="https://advance.lexis.com/api/document?collection=cases-ca&amp;id=urn:contentItem:5F7T-S7B1-JSRM-60MJ-00000-00&amp;context=" TargetMode="External" /><Relationship Id="rId441" Type="http://schemas.openxmlformats.org/officeDocument/2006/relationships/hyperlink" Target="https://advance.lexis.com/api/document?collection=cases-ca&amp;id=urn:contentItem:5F7T-S751-F361-M160-00000-00&amp;context=" TargetMode="External" /><Relationship Id="rId442" Type="http://schemas.openxmlformats.org/officeDocument/2006/relationships/hyperlink" Target="https://advance.lexis.com/api/document?collection=cases-ca&amp;id=urn:contentItem:5F7T-S751-F361-M14X-00000-00&amp;context=" TargetMode="External" /><Relationship Id="rId443" Type="http://schemas.openxmlformats.org/officeDocument/2006/relationships/hyperlink" Target="https://advance.lexis.com/api/document?collection=cases-ca&amp;id=urn:contentItem:5F7T-S7C1-FCSB-S280-00000-00&amp;context=" TargetMode="External" /><Relationship Id="rId444" Type="http://schemas.openxmlformats.org/officeDocument/2006/relationships/hyperlink" Target="https://advance.lexis.com/api/document?collection=cases-ca&amp;id=urn:contentItem:5F81-VJV1-F8D9-M0SJ-00000-00&amp;context=" TargetMode="External" /><Relationship Id="rId445" Type="http://schemas.openxmlformats.org/officeDocument/2006/relationships/hyperlink" Target="https://advance.lexis.com/api/document?collection=cases-ca&amp;id=urn:contentItem:5F7T-S7F1-F7VM-S475-00000-00&amp;context=" TargetMode="External" /><Relationship Id="rId446" Type="http://schemas.openxmlformats.org/officeDocument/2006/relationships/hyperlink" Target="https://advance.lexis.com/api/document?collection=cases-ca&amp;id=urn:contentItem:5F7T-S761-FFMK-M10M-00000-00&amp;context=" TargetMode="External" /><Relationship Id="rId447" Type="http://schemas.openxmlformats.org/officeDocument/2006/relationships/hyperlink" Target="https://advance.lexis.com/api/document?collection=cases-ca&amp;id=urn:contentItem:5F7T-S741-DY89-M3P5-00000-00&amp;context=" TargetMode="External" /><Relationship Id="rId448" Type="http://schemas.openxmlformats.org/officeDocument/2006/relationships/hyperlink" Target="https://advance.lexis.com/api/document?collection=cases-ca&amp;id=urn:contentItem:5F7T-S7C1-JSRM-60V7-00000-00&amp;context=" TargetMode="External" /><Relationship Id="rId449" Type="http://schemas.openxmlformats.org/officeDocument/2006/relationships/hyperlink" Target="https://advance.lexis.com/api/document?collection=cases-ca&amp;id=urn:contentItem:5F7T-S7B1-F7ND-G4YK-00000-00&amp;context=" TargetMode="External" /><Relationship Id="rId45" Type="http://schemas.openxmlformats.org/officeDocument/2006/relationships/header" Target="header10.xml" /><Relationship Id="rId450" Type="http://schemas.openxmlformats.org/officeDocument/2006/relationships/hyperlink" Target="https://advance.lexis.com/api/document?collection=cases-ca&amp;id=urn:contentItem:5F7T-S701-JBT7-X23F-00000-00&amp;context=" TargetMode="External" /><Relationship Id="rId451" Type="http://schemas.openxmlformats.org/officeDocument/2006/relationships/hyperlink" Target="https://advance.lexis.com/api/document?collection=cases-ca&amp;id=urn:contentItem:5F7T-S7D1-JG02-S32G-00000-00&amp;context=" TargetMode="External" /><Relationship Id="rId452" Type="http://schemas.openxmlformats.org/officeDocument/2006/relationships/hyperlink" Target="https://advance.lexis.com/api/document?collection=cases-ca&amp;id=urn:contentItem:5F7T-S7F1-JX3N-B19D-00000-00&amp;context=" TargetMode="External" /><Relationship Id="rId453" Type="http://schemas.openxmlformats.org/officeDocument/2006/relationships/hyperlink" Target="https://advance.lexis.com/api/document?collection=cases-ca&amp;id=urn:contentItem:5F8T-N3V1-JF75-M3CD-00000-00&amp;context=" TargetMode="External" /><Relationship Id="rId454" Type="http://schemas.openxmlformats.org/officeDocument/2006/relationships/hyperlink" Target="https://advance.lexis.com/api/document?collection=cases-ca&amp;id=urn:contentItem:5F7T-S731-F60C-X11W-00000-00&amp;context=" TargetMode="External" /><Relationship Id="rId455" Type="http://schemas.openxmlformats.org/officeDocument/2006/relationships/hyperlink" Target="https://advance.lexis.com/api/document?collection=cases-ca&amp;id=urn:contentItem:5F7T-S771-F361-M1WV-00000-00&amp;context=" TargetMode="External" /><Relationship Id="rId456" Type="http://schemas.openxmlformats.org/officeDocument/2006/relationships/header" Target="header70.xml" /><Relationship Id="rId457" Type="http://schemas.openxmlformats.org/officeDocument/2006/relationships/header" Target="header71.xml" /><Relationship Id="rId458" Type="http://schemas.openxmlformats.org/officeDocument/2006/relationships/footer" Target="footer70.xml" /><Relationship Id="rId459" Type="http://schemas.openxmlformats.org/officeDocument/2006/relationships/footer" Target="footer71.xml" /><Relationship Id="rId46" Type="http://schemas.openxmlformats.org/officeDocument/2006/relationships/header" Target="header11.xml" /><Relationship Id="rId460" Type="http://schemas.openxmlformats.org/officeDocument/2006/relationships/header" Target="header72.xml" /><Relationship Id="rId461" Type="http://schemas.openxmlformats.org/officeDocument/2006/relationships/footer" Target="footer72.xml" /><Relationship Id="rId462" Type="http://schemas.openxmlformats.org/officeDocument/2006/relationships/hyperlink" Target="https://advance.lexis.com/api/document?collection=cases-ca&amp;id=urn:contentItem:5F7T-S7K1-JNY7-X470-00000-00&amp;context=" TargetMode="External" /><Relationship Id="rId463" Type="http://schemas.openxmlformats.org/officeDocument/2006/relationships/hyperlink" Target="https://advance.lexis.com/api/document?collection=cases-ca&amp;id=urn:contentItem:5K6Y-81M1-F81W-23TC-00000-00&amp;context=" TargetMode="External" /><Relationship Id="rId464" Type="http://schemas.openxmlformats.org/officeDocument/2006/relationships/hyperlink" Target="https://advance.lexis.com/api/document?collection=cases-ca&amp;id=urn:contentItem:5F7T-S7K1-JNY7-X4DC-00000-00&amp;context=" TargetMode="External" /><Relationship Id="rId465" Type="http://schemas.openxmlformats.org/officeDocument/2006/relationships/hyperlink" Target="https://advance.lexis.com/api/document?collection=cases-ca&amp;id=urn:contentItem:5F7T-S7C1-F30T-B26H-00000-00&amp;context=" TargetMode="External" /><Relationship Id="rId466" Type="http://schemas.openxmlformats.org/officeDocument/2006/relationships/hyperlink" Target="https://advance.lexis.com/api/document?collection=cases-ca&amp;id=urn:contentItem:5F7T-S7J1-JNS1-M21S-00000-00&amp;context=" TargetMode="External" /><Relationship Id="rId467" Type="http://schemas.openxmlformats.org/officeDocument/2006/relationships/hyperlink" Target="https://advance.lexis.com/api/document?collection=cases-ca&amp;id=urn:contentItem:5F7T-S7G1-JNY7-X3S5-00000-00&amp;context=" TargetMode="External" /><Relationship Id="rId468" Type="http://schemas.openxmlformats.org/officeDocument/2006/relationships/hyperlink" Target="https://advance.lexis.com/api/document?collection=cases-ca&amp;id=urn:contentItem:5F7T-S781-F7G6-63J7-00000-00&amp;context=" TargetMode="External" /><Relationship Id="rId469" Type="http://schemas.openxmlformats.org/officeDocument/2006/relationships/hyperlink" Target="https://advance.lexis.com/api/document?collection=cases-ca&amp;id=urn:contentItem:5F7T-S7C1-F30T-B290-00000-00&amp;context=" TargetMode="External" /><Relationship Id="rId47" Type="http://schemas.openxmlformats.org/officeDocument/2006/relationships/footer" Target="footer10.xml" /><Relationship Id="rId470" Type="http://schemas.openxmlformats.org/officeDocument/2006/relationships/header" Target="header73.xml" /><Relationship Id="rId471" Type="http://schemas.openxmlformats.org/officeDocument/2006/relationships/header" Target="header74.xml" /><Relationship Id="rId472" Type="http://schemas.openxmlformats.org/officeDocument/2006/relationships/footer" Target="footer73.xml" /><Relationship Id="rId473" Type="http://schemas.openxmlformats.org/officeDocument/2006/relationships/footer" Target="footer74.xml" /><Relationship Id="rId474" Type="http://schemas.openxmlformats.org/officeDocument/2006/relationships/header" Target="header75.xml" /><Relationship Id="rId475" Type="http://schemas.openxmlformats.org/officeDocument/2006/relationships/footer" Target="footer75.xml" /><Relationship Id="rId476" Type="http://schemas.openxmlformats.org/officeDocument/2006/relationships/hyperlink" Target="https://advance.lexis.com/api/document?collection=cases-ca&amp;id=urn:contentItem:5F7T-S791-FJTD-G2GF-00000-00&amp;context=" TargetMode="External" /><Relationship Id="rId477" Type="http://schemas.openxmlformats.org/officeDocument/2006/relationships/hyperlink" Target="https://advance.lexis.com/api/document?collection=cases-ca&amp;id=urn:contentItem:5F7T-S741-F528-G2J5-00000-00&amp;context=" TargetMode="External" /><Relationship Id="rId478" Type="http://schemas.openxmlformats.org/officeDocument/2006/relationships/header" Target="header76.xml" /><Relationship Id="rId479" Type="http://schemas.openxmlformats.org/officeDocument/2006/relationships/header" Target="header77.xml" /><Relationship Id="rId48" Type="http://schemas.openxmlformats.org/officeDocument/2006/relationships/footer" Target="footer11.xml" /><Relationship Id="rId480" Type="http://schemas.openxmlformats.org/officeDocument/2006/relationships/footer" Target="footer76.xml" /><Relationship Id="rId481" Type="http://schemas.openxmlformats.org/officeDocument/2006/relationships/footer" Target="footer77.xml" /><Relationship Id="rId482" Type="http://schemas.openxmlformats.org/officeDocument/2006/relationships/header" Target="header78.xml" /><Relationship Id="rId483" Type="http://schemas.openxmlformats.org/officeDocument/2006/relationships/footer" Target="footer78.xml" /><Relationship Id="rId484" Type="http://schemas.openxmlformats.org/officeDocument/2006/relationships/hyperlink" Target="https://advance.lexis.com/api/document?collection=cases-ca&amp;id=urn:contentItem:5F7T-S7G1-JBT7-X40T-00000-00&amp;context=" TargetMode="External" /><Relationship Id="rId485" Type="http://schemas.openxmlformats.org/officeDocument/2006/relationships/hyperlink" Target="https://advance.lexis.com/api/document?collection=cases-ca&amp;id=urn:contentItem:5K6Y-81M1-DXHD-G2D2-00000-00&amp;context=" TargetMode="External" /><Relationship Id="rId486" Type="http://schemas.openxmlformats.org/officeDocument/2006/relationships/hyperlink" Target="https://advance.lexis.com/api/document?collection=cases-ca&amp;id=urn:contentItem:5F7T-S7F1-FBN1-21WG-00000-00&amp;context=" TargetMode="External" /><Relationship Id="rId487" Type="http://schemas.openxmlformats.org/officeDocument/2006/relationships/hyperlink" Target="https://advance.lexis.com/api/document?collection=cases-ca&amp;id=urn:contentItem:5F7T-S7G1-JN6B-S1C0-00000-00&amp;context=" TargetMode="External" /><Relationship Id="rId488" Type="http://schemas.openxmlformats.org/officeDocument/2006/relationships/hyperlink" Target="https://advance.lexis.com/api/document?collection=cases-ca&amp;id=urn:contentItem:5F7T-S7G1-JWR6-S1T2-00000-00&amp;context=" TargetMode="External" /><Relationship Id="rId489" Type="http://schemas.openxmlformats.org/officeDocument/2006/relationships/hyperlink" Target="https://advance.lexis.com/api/document?collection=cases-ca&amp;id=urn:contentItem:5F7T-S7F1-FJTD-G3CS-00000-00&amp;context=" TargetMode="External" /><Relationship Id="rId49" Type="http://schemas.openxmlformats.org/officeDocument/2006/relationships/header" Target="header12.xml" /><Relationship Id="rId490" Type="http://schemas.openxmlformats.org/officeDocument/2006/relationships/hyperlink" Target="https://advance.lexis.com/api/document?collection=cases-ca&amp;id=urn:contentItem:5F7T-S781-JC5P-G1D9-00000-00&amp;context=" TargetMode="External" /><Relationship Id="rId491" Type="http://schemas.openxmlformats.org/officeDocument/2006/relationships/hyperlink" Target="https://advance.lexis.com/api/document?collection=cases-ca&amp;id=urn:contentItem:5F7T-S7C1-FCSB-S2JB-00000-00&amp;context=" TargetMode="External" /><Relationship Id="rId492" Type="http://schemas.openxmlformats.org/officeDocument/2006/relationships/hyperlink" Target="https://advance.lexis.com/api/document?collection=cases-ca&amp;id=urn:contentItem:5F8T-N3V1-JTGH-B15K-00000-00&amp;context=" TargetMode="External" /><Relationship Id="rId493" Type="http://schemas.openxmlformats.org/officeDocument/2006/relationships/hyperlink" Target="https://advance.lexis.com/api/document?collection=cases-ca&amp;id=urn:contentItem:5F8T-N3V1-FC1F-M480-00000-00&amp;context=" TargetMode="External" /><Relationship Id="rId494" Type="http://schemas.openxmlformats.org/officeDocument/2006/relationships/hyperlink" Target="https://advance.lexis.com/api/document?collection=cases-ca&amp;id=urn:contentItem:5F7T-S7D1-JS5Y-B2JK-00000-00&amp;context=" TargetMode="External" /><Relationship Id="rId495" Type="http://schemas.openxmlformats.org/officeDocument/2006/relationships/hyperlink" Target="https://advance.lexis.com/api/document?collection=cases-ca&amp;id=urn:contentItem:5F7T-S751-JP4G-61BC-00000-00&amp;context=" TargetMode="External" /><Relationship Id="rId496" Type="http://schemas.openxmlformats.org/officeDocument/2006/relationships/hyperlink" Target="https://advance.lexis.com/api/document?collection=cases-ca&amp;id=urn:contentItem:5F7T-S7F1-JK4W-M1P3-00000-00&amp;context=" TargetMode="External" /><Relationship Id="rId497" Type="http://schemas.openxmlformats.org/officeDocument/2006/relationships/hyperlink" Target="https://advance.lexis.com/api/document?collection=cases-ca&amp;id=urn:contentItem:5F7T-S711-JNY7-X30K-00000-00&amp;context=" TargetMode="External" /><Relationship Id="rId498" Type="http://schemas.openxmlformats.org/officeDocument/2006/relationships/hyperlink" Target="https://advance.lexis.com/api/document?collection=cases-ca&amp;id=urn:contentItem:5F7T-S7D1-FCSB-S2NV-00000-00&amp;context=" TargetMode="External" /><Relationship Id="rId499" Type="http://schemas.openxmlformats.org/officeDocument/2006/relationships/hyperlink" Target="https://advance.lexis.com/api/document?collection=cases-ca&amp;id=urn:contentItem:5F7T-S7C1-JXG3-X0C3-00000-00&amp;context=" TargetMode="External" /><Relationship Id="rId5" Type="http://schemas.openxmlformats.org/officeDocument/2006/relationships/header" Target="header2.xml" /><Relationship Id="rId50" Type="http://schemas.openxmlformats.org/officeDocument/2006/relationships/footer" Target="footer12.xml" /><Relationship Id="rId500" Type="http://schemas.openxmlformats.org/officeDocument/2006/relationships/hyperlink" Target="https://advance.lexis.com/api/document?collection=cases-ca&amp;id=urn:contentItem:5F7T-S7C1-F4NT-X448-00000-00&amp;context=" TargetMode="External" /><Relationship Id="rId501" Type="http://schemas.openxmlformats.org/officeDocument/2006/relationships/header" Target="header79.xml" /><Relationship Id="rId502" Type="http://schemas.openxmlformats.org/officeDocument/2006/relationships/header" Target="header80.xml" /><Relationship Id="rId503" Type="http://schemas.openxmlformats.org/officeDocument/2006/relationships/footer" Target="footer79.xml" /><Relationship Id="rId504" Type="http://schemas.openxmlformats.org/officeDocument/2006/relationships/footer" Target="footer80.xml" /><Relationship Id="rId505" Type="http://schemas.openxmlformats.org/officeDocument/2006/relationships/header" Target="header81.xml" /><Relationship Id="rId506" Type="http://schemas.openxmlformats.org/officeDocument/2006/relationships/footer" Target="footer81.xml" /><Relationship Id="rId507" Type="http://schemas.openxmlformats.org/officeDocument/2006/relationships/hyperlink" Target="https://advance.lexis.com/api/document?collection=cases-ca&amp;id=urn:contentItem:5F7T-S7D1-DY89-M4C2-00000-00&amp;context=" TargetMode="External" /><Relationship Id="rId508" Type="http://schemas.openxmlformats.org/officeDocument/2006/relationships/hyperlink" Target="https://advance.lexis.com/api/document?collection=legislation-ca&amp;id=urn:contentItem:5F41-1FJ1-JKPJ-G0P7-00000-00&amp;context=" TargetMode="External" /><Relationship Id="rId509" Type="http://schemas.openxmlformats.org/officeDocument/2006/relationships/hyperlink" Target="https://advance.lexis.com/api/document?collection=cases-ca&amp;id=urn:contentItem:5F7T-S7C1-F4NT-X3TV-00000-00&amp;context=" TargetMode="External" /><Relationship Id="rId51" Type="http://schemas.openxmlformats.org/officeDocument/2006/relationships/hyperlink" Target="https://advance.lexis.com/api/document?collection=cases-ca&amp;id=urn:contentItem:5F7T-S7G1-JNY7-X3KW-00000-00&amp;context=" TargetMode="External" /><Relationship Id="rId510" Type="http://schemas.openxmlformats.org/officeDocument/2006/relationships/hyperlink" Target="https://advance.lexis.com/api/document?collection=cases-ca&amp;id=urn:contentItem:5F7T-S7C1-JS0R-22BV-00000-00&amp;context=" TargetMode="External" /><Relationship Id="rId511" Type="http://schemas.openxmlformats.org/officeDocument/2006/relationships/hyperlink" Target="https://advance.lexis.com/api/document?collection=cases-ca&amp;id=urn:contentItem:5F7T-S6Y1-F4GK-M1WK-00000-00&amp;context=" TargetMode="External" /><Relationship Id="rId512" Type="http://schemas.openxmlformats.org/officeDocument/2006/relationships/hyperlink" Target="https://advance.lexis.com/api/document?collection=cases-ca&amp;id=urn:contentItem:5F81-VJW1-JGPY-X4RB-00000-00&amp;context=" TargetMode="External" /><Relationship Id="rId513" Type="http://schemas.openxmlformats.org/officeDocument/2006/relationships/hyperlink" Target="https://advance.lexis.com/api/document?collection=cases-ca&amp;id=urn:contentItem:5F81-VJX1-F22N-X1VW-00000-00&amp;context=" TargetMode="External" /><Relationship Id="rId514" Type="http://schemas.openxmlformats.org/officeDocument/2006/relationships/hyperlink" Target="https://advance.lexis.com/api/document?collection=cases-ca&amp;id=urn:contentItem:5F8T-N3V1-JTGH-B0Y8-00000-00&amp;context=" TargetMode="External" /><Relationship Id="rId515" Type="http://schemas.openxmlformats.org/officeDocument/2006/relationships/hyperlink" Target="https://advance.lexis.com/api/document?collection=cases-ca&amp;id=urn:contentItem:5F8T-N3V1-FC1F-M42M-00000-00&amp;context=" TargetMode="External" /><Relationship Id="rId516" Type="http://schemas.openxmlformats.org/officeDocument/2006/relationships/header" Target="header82.xml" /><Relationship Id="rId517" Type="http://schemas.openxmlformats.org/officeDocument/2006/relationships/header" Target="header83.xml" /><Relationship Id="rId518" Type="http://schemas.openxmlformats.org/officeDocument/2006/relationships/footer" Target="footer82.xml" /><Relationship Id="rId519" Type="http://schemas.openxmlformats.org/officeDocument/2006/relationships/footer" Target="footer83.xml" /><Relationship Id="rId52" Type="http://schemas.openxmlformats.org/officeDocument/2006/relationships/hyperlink" Target="https://advance.lexis.com/api/document?collection=cases-ca&amp;id=urn:contentItem:5F7T-S711-F5KY-B115-00000-00&amp;context=" TargetMode="External" /><Relationship Id="rId520" Type="http://schemas.openxmlformats.org/officeDocument/2006/relationships/header" Target="header84.xml" /><Relationship Id="rId521" Type="http://schemas.openxmlformats.org/officeDocument/2006/relationships/footer" Target="footer84.xml" /><Relationship Id="rId522" Type="http://schemas.openxmlformats.org/officeDocument/2006/relationships/hyperlink" Target="https://advance.lexis.com/api/document?collection=cases-ca&amp;id=urn:contentItem:5F7T-S7M1-DYMS-6217-00000-00&amp;context=" TargetMode="External" /><Relationship Id="rId523" Type="http://schemas.openxmlformats.org/officeDocument/2006/relationships/hyperlink" Target="https://advance.lexis.com/api/document?collection=legislation-ca&amp;id=urn:contentItem:5F3B-B9F1-FGY5-M2DB-00000-00&amp;context=" TargetMode="External" /><Relationship Id="rId524" Type="http://schemas.openxmlformats.org/officeDocument/2006/relationships/hyperlink" Target="https://advance.lexis.com/api/document?collection=legislation-ca&amp;id=urn:contentItem:5VYK-WB51-K054-G4Y8-00000-00&amp;context=" TargetMode="External" /><Relationship Id="rId525" Type="http://schemas.openxmlformats.org/officeDocument/2006/relationships/hyperlink" Target="https://advance.lexis.com/api/document?collection=cases-ca&amp;id=urn:contentItem:5F7T-S7C1-JCJ5-20V3-00000-00&amp;context=" TargetMode="External" /><Relationship Id="rId526" Type="http://schemas.openxmlformats.org/officeDocument/2006/relationships/hyperlink" Target="https://advance.lexis.com/api/document?collection=cases-ca&amp;id=urn:contentItem:5F8P-SF61-JP4G-62MG-00000-00&amp;context=" TargetMode="External" /><Relationship Id="rId527" Type="http://schemas.openxmlformats.org/officeDocument/2006/relationships/hyperlink" Target="https://advance.lexis.com/api/document?collection=cases-ca&amp;id=urn:contentItem:5F81-VJX1-FD4T-B2KX-00000-00&amp;context=" TargetMode="External" /><Relationship Id="rId528" Type="http://schemas.openxmlformats.org/officeDocument/2006/relationships/header" Target="header85.xml" /><Relationship Id="rId529" Type="http://schemas.openxmlformats.org/officeDocument/2006/relationships/header" Target="header86.xml" /><Relationship Id="rId53" Type="http://schemas.openxmlformats.org/officeDocument/2006/relationships/hyperlink" Target="https://advance.lexis.com/api/document?collection=cases-ca&amp;id=urn:contentItem:5F7T-S731-F1WF-M25F-00000-00&amp;context=" TargetMode="External" /><Relationship Id="rId530" Type="http://schemas.openxmlformats.org/officeDocument/2006/relationships/footer" Target="footer85.xml" /><Relationship Id="rId531" Type="http://schemas.openxmlformats.org/officeDocument/2006/relationships/footer" Target="footer86.xml" /><Relationship Id="rId532" Type="http://schemas.openxmlformats.org/officeDocument/2006/relationships/header" Target="header87.xml" /><Relationship Id="rId533" Type="http://schemas.openxmlformats.org/officeDocument/2006/relationships/footer" Target="footer87.xml" /><Relationship Id="rId534" Type="http://schemas.openxmlformats.org/officeDocument/2006/relationships/hyperlink" Target="https://advance.lexis.com/api/document?collection=cases-ca&amp;id=urn:contentItem:5F7T-S7J1-JGBH-B217-00000-00&amp;context=" TargetMode="External" /><Relationship Id="rId535" Type="http://schemas.openxmlformats.org/officeDocument/2006/relationships/hyperlink" Target="https://advance.lexis.com/api/document?collection=cases-ca&amp;id=urn:contentItem:5F7T-S6V1-F2TK-22G9-00000-00&amp;context=" TargetMode="External" /><Relationship Id="rId536" Type="http://schemas.openxmlformats.org/officeDocument/2006/relationships/hyperlink" Target="https://advance.lexis.com/api/document?collection=cases-ca&amp;id=urn:contentItem:5F7T-S7D1-JXG3-X0PP-00000-00&amp;context=" TargetMode="External" /><Relationship Id="rId537" Type="http://schemas.openxmlformats.org/officeDocument/2006/relationships/hyperlink" Target="https://advance.lexis.com/api/document?collection=cases-ca&amp;id=urn:contentItem:5F7T-S7C1-JXG3-X05F-00000-00&amp;context=" TargetMode="External" /><Relationship Id="rId538" Type="http://schemas.openxmlformats.org/officeDocument/2006/relationships/hyperlink" Target="https://advance.lexis.com/api/document?collection=cases-ca&amp;id=urn:contentItem:5F7T-S6Y1-JP9P-G1F0-00000-00&amp;context=" TargetMode="External" /><Relationship Id="rId539" Type="http://schemas.openxmlformats.org/officeDocument/2006/relationships/header" Target="header88.xml" /><Relationship Id="rId54" Type="http://schemas.openxmlformats.org/officeDocument/2006/relationships/hyperlink" Target="https://advance.lexis.com/api/document?collection=cases-ca&amp;id=urn:contentItem:5F7T-S761-JS5Y-B1HG-00000-00&amp;context=" TargetMode="External" /><Relationship Id="rId540" Type="http://schemas.openxmlformats.org/officeDocument/2006/relationships/header" Target="header89.xml" /><Relationship Id="rId541" Type="http://schemas.openxmlformats.org/officeDocument/2006/relationships/footer" Target="footer88.xml" /><Relationship Id="rId542" Type="http://schemas.openxmlformats.org/officeDocument/2006/relationships/footer" Target="footer89.xml" /><Relationship Id="rId543" Type="http://schemas.openxmlformats.org/officeDocument/2006/relationships/header" Target="header90.xml" /><Relationship Id="rId544" Type="http://schemas.openxmlformats.org/officeDocument/2006/relationships/footer" Target="footer90.xml" /><Relationship Id="rId545" Type="http://schemas.openxmlformats.org/officeDocument/2006/relationships/hyperlink" Target="https://advance.lexis.com/api/document?collection=cases-ca&amp;id=urn:contentItem:5F7T-S7M1-JPP5-22FD-00000-00&amp;context=" TargetMode="External" /><Relationship Id="rId546" Type="http://schemas.openxmlformats.org/officeDocument/2006/relationships/hyperlink" Target="https://advance.lexis.com/api/document?collection=cases-ca&amp;id=urn:contentItem:5F81-WC31-F5KY-B4S7-00000-00&amp;context=" TargetMode="External" /><Relationship Id="rId547" Type="http://schemas.openxmlformats.org/officeDocument/2006/relationships/header" Target="header91.xml" /><Relationship Id="rId548" Type="http://schemas.openxmlformats.org/officeDocument/2006/relationships/header" Target="header92.xml" /><Relationship Id="rId549" Type="http://schemas.openxmlformats.org/officeDocument/2006/relationships/footer" Target="footer91.xml" /><Relationship Id="rId55" Type="http://schemas.openxmlformats.org/officeDocument/2006/relationships/header" Target="header13.xml" /><Relationship Id="rId550" Type="http://schemas.openxmlformats.org/officeDocument/2006/relationships/footer" Target="footer92.xml" /><Relationship Id="rId551" Type="http://schemas.openxmlformats.org/officeDocument/2006/relationships/header" Target="header93.xml" /><Relationship Id="rId552" Type="http://schemas.openxmlformats.org/officeDocument/2006/relationships/footer" Target="footer93.xml" /><Relationship Id="rId553" Type="http://schemas.openxmlformats.org/officeDocument/2006/relationships/hyperlink" Target="https://advance.lexis.com/api/document?collection=cases-ca&amp;id=urn:contentItem:5F7T-S7D1-JN6B-S0YJ-00000-00&amp;context=" TargetMode="External" /><Relationship Id="rId554" Type="http://schemas.openxmlformats.org/officeDocument/2006/relationships/hyperlink" Target="https://advance.lexis.com/api/document?collection=cases-ca&amp;id=urn:contentItem:5F7T-S771-FG68-G12J-00000-00&amp;context=" TargetMode="External" /><Relationship Id="rId555" Type="http://schemas.openxmlformats.org/officeDocument/2006/relationships/hyperlink" Target="https://advance.lexis.com/api/document?collection=cases-ca&amp;id=urn:contentItem:5F7T-S751-JX3N-B0WV-00000-00&amp;context=" TargetMode="External" /><Relationship Id="rId556" Type="http://schemas.openxmlformats.org/officeDocument/2006/relationships/hyperlink" Target="https://advance.lexis.com/api/document?collection=cases-ca&amp;id=urn:contentItem:5F7T-S741-F7VM-S34J-00000-00&amp;context=" TargetMode="External" /><Relationship Id="rId557" Type="http://schemas.openxmlformats.org/officeDocument/2006/relationships/hyperlink" Target="https://advance.lexis.com/api/document?collection=cases-ca&amp;id=urn:contentItem:5F7T-S731-DY33-B10H-00000-00&amp;context=" TargetMode="External" /><Relationship Id="rId558" Type="http://schemas.openxmlformats.org/officeDocument/2006/relationships/hyperlink" Target="https://advance.lexis.com/api/document?collection=cases-ca&amp;id=urn:contentItem:5F7T-S781-F27X-6156-00000-00&amp;context=" TargetMode="External" /><Relationship Id="rId559" Type="http://schemas.openxmlformats.org/officeDocument/2006/relationships/hyperlink" Target="https://advance.lexis.com/api/document?collection=cases-ca&amp;id=urn:contentItem:5F7T-S771-JTGH-B1BR-00000-00&amp;context=" TargetMode="External" /><Relationship Id="rId56" Type="http://schemas.openxmlformats.org/officeDocument/2006/relationships/header" Target="header14.xml" /><Relationship Id="rId560" Type="http://schemas.openxmlformats.org/officeDocument/2006/relationships/hyperlink" Target="https://advance.lexis.com/api/document?collection=cases-ca&amp;id=urn:contentItem:5F7T-S7B1-FH4C-X38C-00000-00&amp;context=" TargetMode="External" /><Relationship Id="rId561" Type="http://schemas.openxmlformats.org/officeDocument/2006/relationships/hyperlink" Target="https://advance.lexis.com/api/document?collection=cases-ca&amp;id=urn:contentItem:5F7T-S7C1-F4NT-X3M3-00000-00&amp;context=" TargetMode="External" /><Relationship Id="rId562" Type="http://schemas.openxmlformats.org/officeDocument/2006/relationships/hyperlink" Target="https://advance.lexis.com/api/document?collection=cases-ca&amp;id=urn:contentItem:5F7T-S7C1-JXG3-X07S-00000-00&amp;context=" TargetMode="External" /><Relationship Id="rId563" Type="http://schemas.openxmlformats.org/officeDocument/2006/relationships/hyperlink" Target="https://advance.lexis.com/api/document?collection=cases-ca&amp;id=urn:contentItem:5F7T-S7B1-F7ND-G565-00000-00&amp;context=" TargetMode="External" /><Relationship Id="rId564" Type="http://schemas.openxmlformats.org/officeDocument/2006/relationships/hyperlink" Target="https://advance.lexis.com/api/document?collection=cases-ca&amp;id=urn:contentItem:5F7T-S781-F06F-23S1-00000-00&amp;context=" TargetMode="External" /><Relationship Id="rId565" Type="http://schemas.openxmlformats.org/officeDocument/2006/relationships/hyperlink" Target="https://advance.lexis.com/api/document?collection=cases-ca&amp;id=urn:contentItem:5F7T-S781-F900-G0Y3-00000-00&amp;context=" TargetMode="External" /><Relationship Id="rId566" Type="http://schemas.openxmlformats.org/officeDocument/2006/relationships/hyperlink" Target="https://advance.lexis.com/api/document?collection=cases-ca&amp;id=urn:contentItem:5F7T-S7C1-F4NT-X2XW-00000-00&amp;context=" TargetMode="External" /><Relationship Id="rId567" Type="http://schemas.openxmlformats.org/officeDocument/2006/relationships/hyperlink" Target="https://advance.lexis.com/api/document?collection=cases-ca&amp;id=urn:contentItem:5F7T-S7B1-FH4C-X3R4-00000-00&amp;context=" TargetMode="External" /><Relationship Id="rId568" Type="http://schemas.openxmlformats.org/officeDocument/2006/relationships/hyperlink" Target="https://advance.lexis.com/api/document?collection=cases-ca&amp;id=urn:contentItem:5F7T-S771-F81W-22ND-00000-00&amp;context=" TargetMode="External" /><Relationship Id="rId569" Type="http://schemas.openxmlformats.org/officeDocument/2006/relationships/hyperlink" Target="https://advance.lexis.com/api/document?collection=cases-ca&amp;id=urn:contentItem:5F7T-S751-JNS1-M1JC-00000-00&amp;context=" TargetMode="External" /><Relationship Id="rId57" Type="http://schemas.openxmlformats.org/officeDocument/2006/relationships/footer" Target="footer13.xml" /><Relationship Id="rId570" Type="http://schemas.openxmlformats.org/officeDocument/2006/relationships/header" Target="header94.xml" /><Relationship Id="rId571" Type="http://schemas.openxmlformats.org/officeDocument/2006/relationships/header" Target="header95.xml" /><Relationship Id="rId572" Type="http://schemas.openxmlformats.org/officeDocument/2006/relationships/footer" Target="footer94.xml" /><Relationship Id="rId573" Type="http://schemas.openxmlformats.org/officeDocument/2006/relationships/footer" Target="footer95.xml" /><Relationship Id="rId574" Type="http://schemas.openxmlformats.org/officeDocument/2006/relationships/header" Target="header96.xml" /><Relationship Id="rId575" Type="http://schemas.openxmlformats.org/officeDocument/2006/relationships/footer" Target="footer96.xml" /><Relationship Id="rId576" Type="http://schemas.openxmlformats.org/officeDocument/2006/relationships/hyperlink" Target="https://advance.lexis.com/api/document?collection=cases-ca&amp;id=urn:contentItem:5SR3-CV41-JBDT-B452-00000-00&amp;context=" TargetMode="External" /><Relationship Id="rId577" Type="http://schemas.openxmlformats.org/officeDocument/2006/relationships/hyperlink" Target="https://advance.lexis.com/api/document?collection=cases-ca&amp;id=urn:contentItem:5TSB-2BG1-JBT7-X2YD-00000-00&amp;context=" TargetMode="External" /><Relationship Id="rId578" Type="http://schemas.openxmlformats.org/officeDocument/2006/relationships/hyperlink" Target="https://advance.lexis.com/api/document?collection=cases-ca&amp;id=urn:contentItem:5F8T-N3S1-JT99-24X1-00000-00&amp;context=" TargetMode="External" /><Relationship Id="rId579" Type="http://schemas.openxmlformats.org/officeDocument/2006/relationships/hyperlink" Target="https://advance.lexis.com/api/document?collection=cases-ca&amp;id=urn:contentItem:5F8T-N3V1-JTGH-B1J4-00000-00&amp;context=" TargetMode="External" /><Relationship Id="rId58" Type="http://schemas.openxmlformats.org/officeDocument/2006/relationships/footer" Target="footer14.xml" /><Relationship Id="rId580" Type="http://schemas.openxmlformats.org/officeDocument/2006/relationships/hyperlink" Target="https://advance.lexis.com/api/document?collection=cases-ca&amp;id=urn:contentItem:5F8T-N3V1-FC1F-M44Y-00000-00&amp;context=" TargetMode="External" /><Relationship Id="rId581" Type="http://schemas.openxmlformats.org/officeDocument/2006/relationships/hyperlink" Target="https://advance.lexis.com/api/document?collection=cases-ca&amp;id=urn:contentItem:5F8T-N3V1-JTGH-B1GV-00000-00&amp;context=" TargetMode="External" /><Relationship Id="rId582" Type="http://schemas.openxmlformats.org/officeDocument/2006/relationships/hyperlink" Target="https://advance.lexis.com/api/document?collection=cases-ca&amp;id=urn:contentItem:5F8T-N3V1-JTGH-B16V-00000-00&amp;context=" TargetMode="External" /><Relationship Id="rId583" Type="http://schemas.openxmlformats.org/officeDocument/2006/relationships/hyperlink" Target="https://advance.lexis.com/api/document?collection=cases-ca&amp;id=urn:contentItem:5F7T-S7P1-JSJC-X1TY-00000-00&amp;context=" TargetMode="External" /><Relationship Id="rId584" Type="http://schemas.openxmlformats.org/officeDocument/2006/relationships/hyperlink" Target="https://advance.lexis.com/api/document?collection=cases-ca&amp;id=urn:contentItem:5F8T-N3V1-JFKM-609S-00000-00&amp;context=" TargetMode="External" /><Relationship Id="rId585" Type="http://schemas.openxmlformats.org/officeDocument/2006/relationships/hyperlink" Target="https://advance.lexis.com/api/document?collection=cases-ca&amp;id=urn:contentItem:5F7T-S7N1-F06F-24JN-00000-00&amp;context=" TargetMode="External" /><Relationship Id="rId586" Type="http://schemas.openxmlformats.org/officeDocument/2006/relationships/hyperlink" Target="https://advance.lexis.com/api/document?collection=cases-ca&amp;id=urn:contentItem:5PS3-3WB1-JS0R-24GF-00000-00&amp;context=" TargetMode="External" /><Relationship Id="rId587" Type="http://schemas.openxmlformats.org/officeDocument/2006/relationships/hyperlink" Target="https://advance.lexis.com/api/document?collection=cases-ca&amp;id=urn:contentItem:5F7T-S761-JGHR-M2SP-00000-00&amp;context=" TargetMode="External" /><Relationship Id="rId588" Type="http://schemas.openxmlformats.org/officeDocument/2006/relationships/hyperlink" Target="https://advance.lexis.com/api/document?collection=cases-ca&amp;id=urn:contentItem:5F7T-S7C1-F4NT-X32K-00000-00&amp;context=" TargetMode="External" /><Relationship Id="rId589" Type="http://schemas.openxmlformats.org/officeDocument/2006/relationships/hyperlink" Target="https://advance.lexis.com/api/document?collection=cases-ca&amp;id=urn:contentItem:5F7T-S7F1-JX3N-B1R5-00000-00&amp;context=" TargetMode="External" /><Relationship Id="rId59" Type="http://schemas.openxmlformats.org/officeDocument/2006/relationships/header" Target="header15.xml" /><Relationship Id="rId590" Type="http://schemas.openxmlformats.org/officeDocument/2006/relationships/hyperlink" Target="https://advance.lexis.com/api/document?collection=cases-ca&amp;id=urn:contentItem:5FXJ-PSX1-JNJT-B0JG-00000-00&amp;context=" TargetMode="External" /><Relationship Id="rId591" Type="http://schemas.openxmlformats.org/officeDocument/2006/relationships/hyperlink" Target="https://advance.lexis.com/api/document?collection=cases-ca&amp;id=urn:contentItem:5F7T-S7G1-FCYK-209C-00000-00&amp;context=" TargetMode="External" /><Relationship Id="rId592" Type="http://schemas.openxmlformats.org/officeDocument/2006/relationships/hyperlink" Target="https://advance.lexis.com/api/document?collection=cases-ca&amp;id=urn:contentItem:5F7T-S751-JBM1-M2HC-00000-00&amp;context=" TargetMode="External" /><Relationship Id="rId593" Type="http://schemas.openxmlformats.org/officeDocument/2006/relationships/hyperlink" Target="https://advance.lexis.com/api/document?collection=cases-ca&amp;id=urn:contentItem:5F7V-3DM1-JSJC-X24D-00000-00&amp;context=" TargetMode="External" /><Relationship Id="rId594" Type="http://schemas.openxmlformats.org/officeDocument/2006/relationships/hyperlink" Target="https://advance.lexis.com/api/document?collection=cases-ca&amp;id=urn:contentItem:5F8T-N3V1-FC1F-M405-00000-00&amp;context=" TargetMode="External" /><Relationship Id="rId595" Type="http://schemas.openxmlformats.org/officeDocument/2006/relationships/hyperlink" Target="https://advance.lexis.com/api/document?collection=cases-ca&amp;id=urn:contentItem:5F7V-3DJ1-JF1Y-B20R-00000-00&amp;context=" TargetMode="External" /><Relationship Id="rId596" Type="http://schemas.openxmlformats.org/officeDocument/2006/relationships/hyperlink" Target="https://advance.lexis.com/api/document?collection=cases-ca&amp;id=urn:contentItem:5F81-VJX1-FCK4-G1XF-00000-00&amp;context=" TargetMode="External" /><Relationship Id="rId597" Type="http://schemas.openxmlformats.org/officeDocument/2006/relationships/hyperlink" Target="https://advance.lexis.com/api/document?collection=cases-ca&amp;id=urn:contentItem:5F7T-S771-JWBS-61TF-00000-00&amp;context=" TargetMode="External" /><Relationship Id="rId598" Type="http://schemas.openxmlformats.org/officeDocument/2006/relationships/hyperlink" Target="https://advance.lexis.com/api/document?collection=cases-ca&amp;id=urn:contentItem:5F8P-SD51-JS0R-24S4-00000-00&amp;context=" TargetMode="External" /><Relationship Id="rId599" Type="http://schemas.openxmlformats.org/officeDocument/2006/relationships/hyperlink" Target="https://advance.lexis.com/api/document?collection=cases-ca&amp;id=urn:contentItem:5F7T-S711-JC0G-632S-00000-00&amp;context=" TargetMode="External" /><Relationship Id="rId6" Type="http://schemas.openxmlformats.org/officeDocument/2006/relationships/footer" Target="footer1.xml" /><Relationship Id="rId60" Type="http://schemas.openxmlformats.org/officeDocument/2006/relationships/footer" Target="footer15.xml" /><Relationship Id="rId600" Type="http://schemas.openxmlformats.org/officeDocument/2006/relationships/hyperlink" Target="https://advance.lexis.com/api/document?collection=cases-ca&amp;id=urn:contentItem:5N59-FCC1-F1P7-B3S6-00000-00&amp;context=" TargetMode="External" /><Relationship Id="rId601" Type="http://schemas.openxmlformats.org/officeDocument/2006/relationships/hyperlink" Target="https://advance.lexis.com/api/document?collection=cases-ca&amp;id=urn:contentItem:5F8T-N3T1-JGHR-M1TY-00000-00&amp;context=" TargetMode="External" /><Relationship Id="rId602" Type="http://schemas.openxmlformats.org/officeDocument/2006/relationships/header" Target="header97.xml" /><Relationship Id="rId603" Type="http://schemas.openxmlformats.org/officeDocument/2006/relationships/header" Target="header98.xml" /><Relationship Id="rId604" Type="http://schemas.openxmlformats.org/officeDocument/2006/relationships/footer" Target="footer97.xml" /><Relationship Id="rId605" Type="http://schemas.openxmlformats.org/officeDocument/2006/relationships/footer" Target="footer98.xml" /><Relationship Id="rId606" Type="http://schemas.openxmlformats.org/officeDocument/2006/relationships/header" Target="header99.xml" /><Relationship Id="rId607" Type="http://schemas.openxmlformats.org/officeDocument/2006/relationships/footer" Target="footer99.xml" /><Relationship Id="rId608" Type="http://schemas.openxmlformats.org/officeDocument/2006/relationships/hyperlink" Target="https://advance.lexis.com/api/document?collection=cases-ca&amp;id=urn:contentItem:5F7T-S7K1-F528-G2XW-00000-00&amp;context=" TargetMode="External" /><Relationship Id="rId609" Type="http://schemas.openxmlformats.org/officeDocument/2006/relationships/hyperlink" Target="https://advance.lexis.com/api/document?collection=legislation-ca&amp;id=urn:contentItem:5F41-1FH1-F361-M0GM-00000-00&amp;context=" TargetMode="External" /><Relationship Id="rId61" Type="http://schemas.openxmlformats.org/officeDocument/2006/relationships/hyperlink" Target="https://advance.lexis.com/api/document?collection=cases-ca&amp;id=urn:contentItem:5F7T-S7F1-F7VM-S4F6-00000-00&amp;context=" TargetMode="External" /><Relationship Id="rId610" Type="http://schemas.openxmlformats.org/officeDocument/2006/relationships/hyperlink" Target="https://advance.lexis.com/api/document?collection=cases-ca&amp;id=urn:contentItem:5F7T-S701-FJDY-X2BB-00000-00&amp;context=" TargetMode="External" /><Relationship Id="rId611" Type="http://schemas.openxmlformats.org/officeDocument/2006/relationships/hyperlink" Target="https://advance.lexis.com/api/document?collection=cases-ca&amp;id=urn:contentItem:5F7T-S711-F4GK-M2NP-00000-00&amp;context=" TargetMode="External" /><Relationship Id="rId612" Type="http://schemas.openxmlformats.org/officeDocument/2006/relationships/header" Target="header100.xml" /><Relationship Id="rId613" Type="http://schemas.openxmlformats.org/officeDocument/2006/relationships/header" Target="header101.xml" /><Relationship Id="rId614" Type="http://schemas.openxmlformats.org/officeDocument/2006/relationships/footer" Target="footer100.xml" /><Relationship Id="rId615" Type="http://schemas.openxmlformats.org/officeDocument/2006/relationships/footer" Target="footer101.xml" /><Relationship Id="rId616" Type="http://schemas.openxmlformats.org/officeDocument/2006/relationships/header" Target="header102.xml" /><Relationship Id="rId617" Type="http://schemas.openxmlformats.org/officeDocument/2006/relationships/footer" Target="footer102.xml" /><Relationship Id="rId618" Type="http://schemas.openxmlformats.org/officeDocument/2006/relationships/hyperlink" Target="https://advance.lexis.com/api/document?collection=cases-ca&amp;id=urn:contentItem:5F7T-S781-F7G6-63KT-00000-00&amp;context=" TargetMode="External" /><Relationship Id="rId619" Type="http://schemas.openxmlformats.org/officeDocument/2006/relationships/hyperlink" Target="https://advance.lexis.com/api/document?collection=cases-ca&amp;id=urn:contentItem:5F7T-S771-JSJC-X0FT-00000-00&amp;context=" TargetMode="External" /><Relationship Id="rId62" Type="http://schemas.openxmlformats.org/officeDocument/2006/relationships/hyperlink" Target="https://advance.lexis.com/api/document?collection=legislation-ca&amp;id=urn:contentItem:5F41-1FK1-JSXV-G0GS-00000-00&amp;context=" TargetMode="External" /><Relationship Id="rId620" Type="http://schemas.openxmlformats.org/officeDocument/2006/relationships/hyperlink" Target="https://advance.lexis.com/api/document?collection=cases-ca&amp;id=urn:contentItem:5F7T-S761-JCBX-S0GX-00000-00&amp;context=" TargetMode="External" /><Relationship Id="rId621" Type="http://schemas.openxmlformats.org/officeDocument/2006/relationships/hyperlink" Target="https://advance.lexis.com/api/document?collection=cases-ca&amp;id=urn:contentItem:5F8T-N3V1-JFKM-6045-00000-00&amp;context=" TargetMode="External" /><Relationship Id="rId622" Type="http://schemas.openxmlformats.org/officeDocument/2006/relationships/header" Target="header103.xml" /><Relationship Id="rId623" Type="http://schemas.openxmlformats.org/officeDocument/2006/relationships/header" Target="header104.xml" /><Relationship Id="rId624" Type="http://schemas.openxmlformats.org/officeDocument/2006/relationships/footer" Target="footer103.xml" /><Relationship Id="rId625" Type="http://schemas.openxmlformats.org/officeDocument/2006/relationships/footer" Target="footer104.xml" /><Relationship Id="rId626" Type="http://schemas.openxmlformats.org/officeDocument/2006/relationships/header" Target="header105.xml" /><Relationship Id="rId627" Type="http://schemas.openxmlformats.org/officeDocument/2006/relationships/footer" Target="footer105.xml" /><Relationship Id="rId628" Type="http://schemas.openxmlformats.org/officeDocument/2006/relationships/hyperlink" Target="https://advance.lexis.com/api/document?collection=cases-ca&amp;id=urn:contentItem:5K6Y-81M1-F81W-23WK-00000-00&amp;context=" TargetMode="External" /><Relationship Id="rId629" Type="http://schemas.openxmlformats.org/officeDocument/2006/relationships/hyperlink" Target="https://advance.lexis.com/api/document?collection=cases-ca&amp;id=urn:contentItem:5F7T-S7K1-F1H1-2240-00000-00&amp;context=" TargetMode="External" /><Relationship Id="rId63" Type="http://schemas.openxmlformats.org/officeDocument/2006/relationships/hyperlink" Target="https://advance.lexis.com/api/document?collection=cases-ca&amp;id=urn:contentItem:5F7T-S6X1-FJDY-X17B-00000-00&amp;context=" TargetMode="External" /><Relationship Id="rId630" Type="http://schemas.openxmlformats.org/officeDocument/2006/relationships/hyperlink" Target="https://advance.lexis.com/api/document?collection=cases-ca&amp;id=urn:contentItem:5F7T-S751-JX3N-B17W-00000-00&amp;context=" TargetMode="External" /><Relationship Id="rId631" Type="http://schemas.openxmlformats.org/officeDocument/2006/relationships/hyperlink" Target="https://advance.lexis.com/api/document?collection=cases-ca&amp;id=urn:contentItem:5F7T-S771-F361-M1H3-00000-00&amp;context=" TargetMode="External" /><Relationship Id="rId632" Type="http://schemas.openxmlformats.org/officeDocument/2006/relationships/hyperlink" Target="https://advance.lexis.com/api/document?collection=cases-ca&amp;id=urn:contentItem:5F7H-SCN1-DY89-M201-00000-00&amp;context=" TargetMode="External" /><Relationship Id="rId633" Type="http://schemas.openxmlformats.org/officeDocument/2006/relationships/hyperlink" Target="https://advance.lexis.com/api/document?collection=cases-ca&amp;id=urn:contentItem:5F7T-S7J1-FGCG-S0N0-00000-00&amp;context=" TargetMode="External" /><Relationship Id="rId634" Type="http://schemas.openxmlformats.org/officeDocument/2006/relationships/hyperlink" Target="https://advance.lexis.com/api/document?collection=cases-ca&amp;id=urn:contentItem:5F8T-N3V1-FC1F-M4CV-00000-00&amp;context=" TargetMode="External" /><Relationship Id="rId635" Type="http://schemas.openxmlformats.org/officeDocument/2006/relationships/hyperlink" Target="https://advance.lexis.com/api/document?collection=cases-ca&amp;id=urn:contentItem:5F81-VJV1-DXWW-22MF-00000-00&amp;context=" TargetMode="External" /><Relationship Id="rId636" Type="http://schemas.openxmlformats.org/officeDocument/2006/relationships/hyperlink" Target="https://advance.lexis.com/api/document?collection=cases-ca&amp;id=urn:contentItem:5F81-VJW1-JF75-M182-00000-00&amp;context=" TargetMode="External" /><Relationship Id="rId637" Type="http://schemas.openxmlformats.org/officeDocument/2006/relationships/hyperlink" Target="https://advance.lexis.com/api/document?collection=cases-ca&amp;id=urn:contentItem:5F7T-S701-JK4W-M155-00000-00&amp;context=" TargetMode="External" /><Relationship Id="rId638" Type="http://schemas.openxmlformats.org/officeDocument/2006/relationships/hyperlink" Target="https://advance.lexis.com/api/document?collection=cases-ca&amp;id=urn:contentItem:5F8P-T8V1-FBN1-20PN-00000-00&amp;context=" TargetMode="External" /><Relationship Id="rId639" Type="http://schemas.openxmlformats.org/officeDocument/2006/relationships/hyperlink" Target="https://advance.lexis.com/api/document?collection=cases-ca&amp;id=urn:contentItem:5F8T-N3V1-FC1F-M48M-00000-00&amp;context=" TargetMode="External" /><Relationship Id="rId64" Type="http://schemas.openxmlformats.org/officeDocument/2006/relationships/hyperlink" Target="https://advance.lexis.com/api/document?collection=cases-ca&amp;id=urn:contentItem:5F7T-S761-FFMK-M15W-00000-00&amp;context=" TargetMode="External" /><Relationship Id="rId640" Type="http://schemas.openxmlformats.org/officeDocument/2006/relationships/hyperlink" Target="https://advance.lexis.com/api/document?collection=cases-ca&amp;id=urn:contentItem:5F8T-N3T1-JFKM-6545-00000-00&amp;context=" TargetMode="External" /><Relationship Id="rId641" Type="http://schemas.openxmlformats.org/officeDocument/2006/relationships/hyperlink" Target="https://advance.lexis.com/api/document?collection=cases-ca&amp;id=urn:contentItem:5F7T-S761-F81W-221M-00000-00&amp;context=" TargetMode="External" /><Relationship Id="rId642" Type="http://schemas.openxmlformats.org/officeDocument/2006/relationships/hyperlink" Target="https://advance.lexis.com/api/document?collection=cases-ca&amp;id=urn:contentItem:5F7T-S7C1-JCJ5-20KG-00000-00&amp;context=" TargetMode="External" /><Relationship Id="rId643" Type="http://schemas.openxmlformats.org/officeDocument/2006/relationships/hyperlink" Target="https://advance.lexis.com/api/document?collection=cases-ca&amp;id=urn:contentItem:5F7T-S7J1-JGBH-B224-00000-00&amp;context=" TargetMode="External" /><Relationship Id="rId644" Type="http://schemas.openxmlformats.org/officeDocument/2006/relationships/hyperlink" Target="https://advance.lexis.com/api/document?collection=cases-ca&amp;id=urn:contentItem:5F7T-S7J1-FGCG-S02G-00000-00&amp;context=" TargetMode="External" /><Relationship Id="rId645" Type="http://schemas.openxmlformats.org/officeDocument/2006/relationships/hyperlink" Target="https://advance.lexis.com/api/document?collection=cases-ca&amp;id=urn:contentItem:5F8P-SF01-JS0R-20D4-00000-00&amp;context=" TargetMode="External" /><Relationship Id="rId646" Type="http://schemas.openxmlformats.org/officeDocument/2006/relationships/hyperlink" Target="https://advance.lexis.com/api/document?collection=cases-ca&amp;id=urn:contentItem:5F81-VJX1-FCK4-G1TW-00000-00&amp;context=" TargetMode="External" /><Relationship Id="rId647" Type="http://schemas.openxmlformats.org/officeDocument/2006/relationships/hyperlink" Target="https://advance.lexis.com/api/document?collection=cases-ca&amp;id=urn:contentItem:5F81-VJY1-FBN1-22RJ-00000-00&amp;context=" TargetMode="External" /><Relationship Id="rId648" Type="http://schemas.openxmlformats.org/officeDocument/2006/relationships/header" Target="header106.xml" /><Relationship Id="rId649" Type="http://schemas.openxmlformats.org/officeDocument/2006/relationships/header" Target="header107.xml" /><Relationship Id="rId65" Type="http://schemas.openxmlformats.org/officeDocument/2006/relationships/hyperlink" Target="https://advance.lexis.com/api/document?collection=cases-ca&amp;id=urn:contentItem:5F7T-S6W1-JF75-M31V-00000-00&amp;context=" TargetMode="External" /><Relationship Id="rId650" Type="http://schemas.openxmlformats.org/officeDocument/2006/relationships/footer" Target="footer106.xml" /><Relationship Id="rId651" Type="http://schemas.openxmlformats.org/officeDocument/2006/relationships/footer" Target="footer107.xml" /><Relationship Id="rId652" Type="http://schemas.openxmlformats.org/officeDocument/2006/relationships/header" Target="header108.xml" /><Relationship Id="rId653" Type="http://schemas.openxmlformats.org/officeDocument/2006/relationships/footer" Target="footer108.xml" /><Relationship Id="rId654" Type="http://schemas.openxmlformats.org/officeDocument/2006/relationships/hyperlink" Target="https://advance.lexis.com/api/document?collection=cases-ca&amp;id=urn:contentItem:5TJB-96F1-F4NT-X00M-00000-00&amp;context=" TargetMode="External" /><Relationship Id="rId655" Type="http://schemas.openxmlformats.org/officeDocument/2006/relationships/hyperlink" Target="https://advance.lexis.com/api/document?collection=legislation-ca&amp;id=urn:contentItem:5F41-1FJ1-JPGX-S03R-00000-00&amp;context=" TargetMode="External" /><Relationship Id="rId656" Type="http://schemas.openxmlformats.org/officeDocument/2006/relationships/hyperlink" Target="https://advance.lexis.com/api/document?collection=cases-ca&amp;id=urn:contentItem:5F7T-S7M1-JPP5-22J6-00000-00&amp;context=" TargetMode="External" /><Relationship Id="rId657" Type="http://schemas.openxmlformats.org/officeDocument/2006/relationships/hyperlink" Target="https://advance.lexis.com/api/document?collection=cases-ca&amp;id=urn:contentItem:5F8T-N3V1-FC1F-M490-00000-00&amp;context=" TargetMode="External" /><Relationship Id="rId658" Type="http://schemas.openxmlformats.org/officeDocument/2006/relationships/hyperlink" Target="https://advance.lexis.com/api/document?collection=cases-ca&amp;id=urn:contentItem:5F7T-S6S1-DXHD-G13M-00000-00&amp;context=" TargetMode="External" /><Relationship Id="rId659" Type="http://schemas.openxmlformats.org/officeDocument/2006/relationships/hyperlink" Target="https://advance.lexis.com/api/document?collection=cases-ca&amp;id=urn:contentItem:5F7T-S6T1-JTNR-M2MX-00000-00&amp;context=" TargetMode="External" /><Relationship Id="rId66" Type="http://schemas.openxmlformats.org/officeDocument/2006/relationships/hyperlink" Target="https://advance.lexis.com/api/document?collection=cases-ca&amp;id=urn:contentItem:5F7T-S6W1-JYYX-61C5-00000-00&amp;context=" TargetMode="External" /><Relationship Id="rId660" Type="http://schemas.openxmlformats.org/officeDocument/2006/relationships/hyperlink" Target="https://advance.lexis.com/api/document?collection=cases-ca&amp;id=urn:contentItem:5F7T-S771-F2TK-22YF-00000-00&amp;context=" TargetMode="External" /><Relationship Id="rId661" Type="http://schemas.openxmlformats.org/officeDocument/2006/relationships/hyperlink" Target="https://advance.lexis.com/api/document?collection=cases-ca&amp;id=urn:contentItem:5F7T-S711-F4GK-M2FW-00000-00&amp;context=" TargetMode="External" /><Relationship Id="rId662" Type="http://schemas.openxmlformats.org/officeDocument/2006/relationships/hyperlink" Target="https://advance.lexis.com/api/document?collection=cases-ca&amp;id=urn:contentItem:5F7T-S741-F528-G2FD-00000-00&amp;context=" TargetMode="External" /><Relationship Id="rId663" Type="http://schemas.openxmlformats.org/officeDocument/2006/relationships/hyperlink" Target="https://advance.lexis.com/api/document?collection=cases-ca&amp;id=urn:contentItem:5F7T-S7D1-FFFC-B12C-00000-00&amp;context=" TargetMode="External" /><Relationship Id="rId664" Type="http://schemas.openxmlformats.org/officeDocument/2006/relationships/hyperlink" Target="https://advance.lexis.com/api/document?collection=cases-ca&amp;id=urn:contentItem:5F7T-S7G1-JPP5-21V6-00000-00&amp;context=" TargetMode="External" /><Relationship Id="rId665" Type="http://schemas.openxmlformats.org/officeDocument/2006/relationships/hyperlink" Target="https://advance.lexis.com/api/document?collection=cases-ca&amp;id=urn:contentItem:5GCC-XVB1-FK0M-S4Y1-00000-00&amp;context=" TargetMode="External" /><Relationship Id="rId666" Type="http://schemas.openxmlformats.org/officeDocument/2006/relationships/hyperlink" Target="https://advance.lexis.com/api/document?collection=cases-ca&amp;id=urn:contentItem:5F7T-S741-F528-G21K-00000-00&amp;context=" TargetMode="External" /><Relationship Id="rId667" Type="http://schemas.openxmlformats.org/officeDocument/2006/relationships/hyperlink" Target="https://advance.lexis.com/api/document?collection=cases-ca&amp;id=urn:contentItem:5F7T-S771-JN14-G2DF-00000-00&amp;context=" TargetMode="External" /><Relationship Id="rId668" Type="http://schemas.openxmlformats.org/officeDocument/2006/relationships/hyperlink" Target="https://advance.lexis.com/api/document?collection=cases-ca&amp;id=urn:contentItem:5F7T-S7K1-DY33-B1PT-00000-00&amp;context=" TargetMode="External" /><Relationship Id="rId669" Type="http://schemas.openxmlformats.org/officeDocument/2006/relationships/hyperlink" Target="https://advance.lexis.com/api/document?collection=cases-ca&amp;id=urn:contentItem:5F8T-N3T1-JGHR-M278-00000-00&amp;context=" TargetMode="External" /><Relationship Id="rId67" Type="http://schemas.openxmlformats.org/officeDocument/2006/relationships/hyperlink" Target="https://advance.lexis.com/api/document?collection=cases-ca&amp;id=urn:contentItem:5F7T-S6Y1-F65M-6050-00000-00&amp;context=" TargetMode="External" /><Relationship Id="rId670" Type="http://schemas.openxmlformats.org/officeDocument/2006/relationships/hyperlink" Target="https://advance.lexis.com/api/document?collection=cases-ca&amp;id=urn:contentItem:5F7T-S7K1-JSJC-X15J-00000-00&amp;context=" TargetMode="External" /><Relationship Id="rId671" Type="http://schemas.openxmlformats.org/officeDocument/2006/relationships/header" Target="header109.xml" /><Relationship Id="rId672" Type="http://schemas.openxmlformats.org/officeDocument/2006/relationships/header" Target="header110.xml" /><Relationship Id="rId673" Type="http://schemas.openxmlformats.org/officeDocument/2006/relationships/footer" Target="footer109.xml" /><Relationship Id="rId674" Type="http://schemas.openxmlformats.org/officeDocument/2006/relationships/footer" Target="footer110.xml" /><Relationship Id="rId675" Type="http://schemas.openxmlformats.org/officeDocument/2006/relationships/header" Target="header111.xml" /><Relationship Id="rId676" Type="http://schemas.openxmlformats.org/officeDocument/2006/relationships/footer" Target="footer111.xml" /><Relationship Id="rId677" Type="http://schemas.openxmlformats.org/officeDocument/2006/relationships/hyperlink" Target="https://advance.lexis.com/api/document?collection=cases-ca&amp;id=urn:contentItem:5NHR-M691-FH4C-X2BK-00000-00&amp;context=" TargetMode="External" /><Relationship Id="rId678" Type="http://schemas.openxmlformats.org/officeDocument/2006/relationships/hyperlink" Target="https://advance.lexis.com/api/document?collection=cases-ca&amp;id=urn:contentItem:5HK3-JGT1-JPGX-S3V4-00000-00&amp;context=" TargetMode="External" /><Relationship Id="rId679" Type="http://schemas.openxmlformats.org/officeDocument/2006/relationships/hyperlink" Target="https://advance.lexis.com/api/document?collection=cases-ca&amp;id=urn:contentItem:5F7T-S7N1-JWR6-S235-00000-00&amp;context=" TargetMode="External" /><Relationship Id="rId68" Type="http://schemas.openxmlformats.org/officeDocument/2006/relationships/hyperlink" Target="https://advance.lexis.com/api/document?collection=cases-ca&amp;id=urn:contentItem:5F81-VJW1-JF75-M1FG-00000-00&amp;context=" TargetMode="External" /><Relationship Id="rId680" Type="http://schemas.openxmlformats.org/officeDocument/2006/relationships/hyperlink" Target="https://advance.lexis.com/api/document?collection=cases-ca&amp;id=urn:contentItem:5F7T-S7M1-DYMS-626Y-00000-00&amp;context=" TargetMode="External" /><Relationship Id="rId681" Type="http://schemas.openxmlformats.org/officeDocument/2006/relationships/hyperlink" Target="https://advance.lexis.com/api/document?collection=cases-ca&amp;id=urn:contentItem:5F7T-S7M1-F4W2-62HJ-00000-00&amp;context=" TargetMode="External" /><Relationship Id="rId682" Type="http://schemas.openxmlformats.org/officeDocument/2006/relationships/hyperlink" Target="https://advance.lexis.com/api/document?collection=cases-ca&amp;id=urn:contentItem:5KKC-9731-JCBX-S2FX-00000-00&amp;context=" TargetMode="External" /><Relationship Id="rId683" Type="http://schemas.openxmlformats.org/officeDocument/2006/relationships/hyperlink" Target="https://advance.lexis.com/api/document?collection=cases-ca&amp;id=urn:contentItem:5KHN-KX81-JWR6-S42T-00000-00&amp;context=" TargetMode="External" /><Relationship Id="rId684" Type="http://schemas.openxmlformats.org/officeDocument/2006/relationships/hyperlink" Target="https://advance.lexis.com/api/document?collection=cases-ca&amp;id=urn:contentItem:5F7T-S7P1-JSJC-X18M-00000-00&amp;context=" TargetMode="External" /><Relationship Id="rId685" Type="http://schemas.openxmlformats.org/officeDocument/2006/relationships/hyperlink" Target="https://advance.lexis.com/api/document?collection=cases-ca&amp;id=urn:contentItem:5F7T-S7N1-JWR6-S2GP-00000-00&amp;context=" TargetMode="External" /><Relationship Id="rId686" Type="http://schemas.openxmlformats.org/officeDocument/2006/relationships/hyperlink" Target="https://advance.lexis.com/api/document?collection=cases-ca&amp;id=urn:contentItem:5F7T-S7N1-JW09-M131-00000-00&amp;context=" TargetMode="External" /><Relationship Id="rId687" Type="http://schemas.openxmlformats.org/officeDocument/2006/relationships/hyperlink" Target="https://advance.lexis.com/api/document?collection=cases-ca&amp;id=urn:contentItem:5K27-9R71-JWBS-63Y8-00000-00&amp;context=" TargetMode="External" /><Relationship Id="rId688" Type="http://schemas.openxmlformats.org/officeDocument/2006/relationships/hyperlink" Target="https://advance.lexis.com/api/document?collection=cases-ca&amp;id=urn:contentItem:5JY7-RCM1-DXHD-G2RF-00000-00&amp;context=" TargetMode="External" /><Relationship Id="rId689" Type="http://schemas.openxmlformats.org/officeDocument/2006/relationships/hyperlink" Target="https://advance.lexis.com/api/document?collection=cases-ca&amp;id=urn:contentItem:5JH9-BW81-F22N-X47S-00000-00&amp;context=" TargetMode="External" /><Relationship Id="rId69" Type="http://schemas.openxmlformats.org/officeDocument/2006/relationships/hyperlink" Target="https://advance.lexis.com/api/document?collection=cases-ca&amp;id=urn:contentItem:5F7T-S741-F8D9-M1S7-00000-00&amp;context=" TargetMode="External" /><Relationship Id="rId690" Type="http://schemas.openxmlformats.org/officeDocument/2006/relationships/hyperlink" Target="https://advance.lexis.com/api/document?collection=cases-ca&amp;id=urn:contentItem:5F7T-S7P1-JP4G-6203-00000-00&amp;context=" TargetMode="External" /><Relationship Id="rId691" Type="http://schemas.openxmlformats.org/officeDocument/2006/relationships/hyperlink" Target="https://advance.lexis.com/api/document?collection=cases-ca&amp;id=urn:contentItem:5F7T-S7P1-JCRC-B287-00000-00&amp;context=" TargetMode="External" /><Relationship Id="rId692" Type="http://schemas.openxmlformats.org/officeDocument/2006/relationships/hyperlink" Target="https://advance.lexis.com/api/document?collection=cases-ca&amp;id=urn:contentItem:5F7T-S781-F06F-2423-00000-00&amp;context=" TargetMode="External" /><Relationship Id="rId693" Type="http://schemas.openxmlformats.org/officeDocument/2006/relationships/hyperlink" Target="https://advance.lexis.com/api/document?collection=cases-ca&amp;id=urn:contentItem:5F7T-S7C1-FCSB-S2G9-00000-00&amp;context=" TargetMode="External" /><Relationship Id="rId694" Type="http://schemas.openxmlformats.org/officeDocument/2006/relationships/hyperlink" Target="https://advance.lexis.com/api/document?collection=cases-ca&amp;id=urn:contentItem:5F7T-S7M1-JCRC-B1V5-00000-00&amp;context=" TargetMode="External" /><Relationship Id="rId695" Type="http://schemas.openxmlformats.org/officeDocument/2006/relationships/hyperlink" Target="https://advance.lexis.com/api/document?collection=cases-ca&amp;id=urn:contentItem:5F7T-S7G1-F5KY-B1GH-00000-00&amp;context=" TargetMode="External" /><Relationship Id="rId696" Type="http://schemas.openxmlformats.org/officeDocument/2006/relationships/hyperlink" Target="https://advance.lexis.com/api/document?collection=cases-ca&amp;id=urn:contentItem:5F7T-S7H1-K054-G2F0-00000-00&amp;context=" TargetMode="External" /><Relationship Id="rId697" Type="http://schemas.openxmlformats.org/officeDocument/2006/relationships/hyperlink" Target="https://advance.lexis.com/api/document?collection=cases-ca&amp;id=urn:contentItem:5F7T-S7K1-DY33-B1KS-00000-00&amp;context=" TargetMode="External" /><Relationship Id="rId698" Type="http://schemas.openxmlformats.org/officeDocument/2006/relationships/hyperlink" Target="https://advance.lexis.com/api/document?collection=cases-ca&amp;id=urn:contentItem:5F7T-S7G1-JNY7-X3VM-00000-00&amp;context=" TargetMode="External" /><Relationship Id="rId699" Type="http://schemas.openxmlformats.org/officeDocument/2006/relationships/hyperlink" Target="https://advance.lexis.com/api/document?collection=cases-ca&amp;id=urn:contentItem:5F7T-S7G1-FCYK-207V-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71-JW5H-X1TN-00000-00&amp;context=" TargetMode="External" /><Relationship Id="rId700" Type="http://schemas.openxmlformats.org/officeDocument/2006/relationships/hyperlink" Target="https://advance.lexis.com/api/document?collection=cases-ca&amp;id=urn:contentItem:5F7T-S7K1-JSJC-X0R5-00000-00&amp;context=" TargetMode="External" /><Relationship Id="rId701" Type="http://schemas.openxmlformats.org/officeDocument/2006/relationships/hyperlink" Target="https://advance.lexis.com/api/document?collection=cases-ca&amp;id=urn:contentItem:5J3K-3591-F956-S3CM-00000-00&amp;context=" TargetMode="External" /><Relationship Id="rId702" Type="http://schemas.openxmlformats.org/officeDocument/2006/relationships/hyperlink" Target="https://advance.lexis.com/api/document?collection=cases-ca&amp;id=urn:contentItem:5F7T-S7K1-JNY7-X4RM-00000-00&amp;context=" TargetMode="External" /><Relationship Id="rId703" Type="http://schemas.openxmlformats.org/officeDocument/2006/relationships/hyperlink" Target="https://advance.lexis.com/api/document?collection=cases-ca&amp;id=urn:contentItem:5F7T-S7P1-F2TK-2395-00000-00&amp;context=" TargetMode="External" /><Relationship Id="rId704" Type="http://schemas.openxmlformats.org/officeDocument/2006/relationships/hyperlink" Target="https://advance.lexis.com/api/document?collection=cases-ca&amp;id=urn:contentItem:5F7T-S781-JSC5-M4GD-00000-00&amp;context=" TargetMode="External" /><Relationship Id="rId705" Type="http://schemas.openxmlformats.org/officeDocument/2006/relationships/hyperlink" Target="https://advance.lexis.com/api/document?collection=cases-ca&amp;id=urn:contentItem:5F7T-S7C1-F7VM-S3NW-00000-00&amp;context=" TargetMode="External" /><Relationship Id="rId706" Type="http://schemas.openxmlformats.org/officeDocument/2006/relationships/hyperlink" Target="https://advance.lexis.com/api/document?collection=cases-ca&amp;id=urn:contentItem:5F7T-S7P1-JCRC-B268-00000-00&amp;context=" TargetMode="External" /><Relationship Id="rId707" Type="http://schemas.openxmlformats.org/officeDocument/2006/relationships/hyperlink" Target="https://advance.lexis.com/api/document?collection=cases-ca&amp;id=urn:contentItem:5F7T-S7P1-JBDT-B16R-00000-00&amp;context=" TargetMode="External" /><Relationship Id="rId708" Type="http://schemas.openxmlformats.org/officeDocument/2006/relationships/hyperlink" Target="https://advance.lexis.com/api/document?collection=cases-ca&amp;id=urn:contentItem:5F7T-S741-F528-G26C-00000-00&amp;context=" TargetMode="External" /><Relationship Id="rId709" Type="http://schemas.openxmlformats.org/officeDocument/2006/relationships/hyperlink" Target="https://advance.lexis.com/api/document?collection=cases-ca&amp;id=urn:contentItem:5HR4-FPP1-JG02-S2B3-00000-00&amp;context=" TargetMode="External" /><Relationship Id="rId71" Type="http://schemas.openxmlformats.org/officeDocument/2006/relationships/hyperlink" Target="https://advance.lexis.com/api/document?collection=cases-ca&amp;id=urn:contentItem:5F7T-S6W1-JYYX-61X7-00000-00&amp;context=" TargetMode="External" /><Relationship Id="rId710" Type="http://schemas.openxmlformats.org/officeDocument/2006/relationships/hyperlink" Target="https://advance.lexis.com/api/document?collection=cases-ca&amp;id=urn:contentItem:5F7T-S7D1-FC6N-X0DR-00000-00&amp;context=" TargetMode="External" /><Relationship Id="rId711" Type="http://schemas.openxmlformats.org/officeDocument/2006/relationships/hyperlink" Target="https://advance.lexis.com/api/document?collection=cases-ca&amp;id=urn:contentItem:5F7T-S7P1-JBDT-B1CJ-00000-00&amp;context=" TargetMode="External" /><Relationship Id="rId712" Type="http://schemas.openxmlformats.org/officeDocument/2006/relationships/header" Target="header112.xml" /><Relationship Id="rId713" Type="http://schemas.openxmlformats.org/officeDocument/2006/relationships/header" Target="header113.xml" /><Relationship Id="rId714" Type="http://schemas.openxmlformats.org/officeDocument/2006/relationships/footer" Target="footer112.xml" /><Relationship Id="rId715" Type="http://schemas.openxmlformats.org/officeDocument/2006/relationships/footer" Target="footer113.xml" /><Relationship Id="rId716" Type="http://schemas.openxmlformats.org/officeDocument/2006/relationships/header" Target="header114.xml" /><Relationship Id="rId717" Type="http://schemas.openxmlformats.org/officeDocument/2006/relationships/footer" Target="footer114.xml" /><Relationship Id="rId718" Type="http://schemas.openxmlformats.org/officeDocument/2006/relationships/hyperlink" Target="https://advance.lexis.com/api/document?collection=cases-ca&amp;id=urn:contentItem:5F7T-S7P1-JCRC-B266-00000-00&amp;context=" TargetMode="External" /><Relationship Id="rId719" Type="http://schemas.openxmlformats.org/officeDocument/2006/relationships/hyperlink" Target="https://advance.lexis.com/api/document?collection=cases-ca&amp;id=urn:contentItem:5K6Y-81N1-JFDC-X1DH-00000-00&amp;context=" TargetMode="External" /><Relationship Id="rId72" Type="http://schemas.openxmlformats.org/officeDocument/2006/relationships/hyperlink" Target="https://advance.lexis.com/api/document?collection=cases-ca&amp;id=urn:contentItem:5F7T-S6R1-F4GK-M0D3-00000-00&amp;context=" TargetMode="External" /><Relationship Id="rId720" Type="http://schemas.openxmlformats.org/officeDocument/2006/relationships/hyperlink" Target="https://advance.lexis.com/api/document?collection=cases-ca&amp;id=urn:contentItem:5F7T-S7G1-JX3N-B2BG-00000-00&amp;context=" TargetMode="External" /><Relationship Id="rId721" Type="http://schemas.openxmlformats.org/officeDocument/2006/relationships/hyperlink" Target="https://advance.lexis.com/api/document?collection=cases-ca&amp;id=urn:contentItem:5F8T-N3V1-JTGH-B1BS-00000-00&amp;context=" TargetMode="External" /><Relationship Id="rId722" Type="http://schemas.openxmlformats.org/officeDocument/2006/relationships/hyperlink" Target="https://advance.lexis.com/api/document?collection=cases-ca&amp;id=urn:contentItem:5F81-VJX1-JX3N-B1J2-00000-00&amp;context=" TargetMode="External" /><Relationship Id="rId723" Type="http://schemas.openxmlformats.org/officeDocument/2006/relationships/hyperlink" Target="https://advance.lexis.com/api/document?collection=cases-ca&amp;id=urn:contentItem:5F8T-N3V1-FC1F-M4FP-00000-00&amp;context=" TargetMode="External" /><Relationship Id="rId724" Type="http://schemas.openxmlformats.org/officeDocument/2006/relationships/hyperlink" Target="https://advance.lexis.com/api/document?collection=cases-ca&amp;id=urn:contentItem:5F8T-N3V1-FC1F-M43G-00000-00&amp;context=" TargetMode="External" /><Relationship Id="rId725" Type="http://schemas.openxmlformats.org/officeDocument/2006/relationships/hyperlink" Target="https://advance.lexis.com/api/document?collection=cases-ca&amp;id=urn:contentItem:5F7T-S7F1-JBT7-X2R8-00000-00&amp;context=" TargetMode="External" /><Relationship Id="rId726" Type="http://schemas.openxmlformats.org/officeDocument/2006/relationships/hyperlink" Target="https://advance.lexis.com/api/document?collection=cases-ca&amp;id=urn:contentItem:5F7T-S7K1-JWXF-21BB-00000-00&amp;context=" TargetMode="External" /><Relationship Id="rId727" Type="http://schemas.openxmlformats.org/officeDocument/2006/relationships/hyperlink" Target="https://advance.lexis.com/api/document?collection=cases-ca&amp;id=urn:contentItem:5F7T-S7B1-JCJ5-2013-00000-00&amp;context=" TargetMode="External" /><Relationship Id="rId728" Type="http://schemas.openxmlformats.org/officeDocument/2006/relationships/hyperlink" Target="https://advance.lexis.com/api/document?collection=cases-ca&amp;id=urn:contentItem:5F7T-S6S1-FFTT-X0H1-00000-00&amp;context=" TargetMode="External" /><Relationship Id="rId729" Type="http://schemas.openxmlformats.org/officeDocument/2006/relationships/hyperlink" Target="https://advance.lexis.com/api/document?collection=cases-ca&amp;id=urn:contentItem:5F7T-S7F1-DXWW-23RN-00000-00&amp;context=" TargetMode="External" /><Relationship Id="rId73" Type="http://schemas.openxmlformats.org/officeDocument/2006/relationships/hyperlink" Target="https://advance.lexis.com/api/document?collection=legislation-ca&amp;id=urn:contentItem:5F41-1FM1-FJM6-61N1-00000-00&amp;context=" TargetMode="External" /><Relationship Id="rId730" Type="http://schemas.openxmlformats.org/officeDocument/2006/relationships/hyperlink" Target="https://advance.lexis.com/api/document?collection=cases-ca&amp;id=urn:contentItem:5F7T-S7N1-F57G-S27R-00000-00&amp;context=" TargetMode="External" /><Relationship Id="rId731" Type="http://schemas.openxmlformats.org/officeDocument/2006/relationships/header" Target="header115.xml" /><Relationship Id="rId732" Type="http://schemas.openxmlformats.org/officeDocument/2006/relationships/header" Target="header116.xml" /><Relationship Id="rId733" Type="http://schemas.openxmlformats.org/officeDocument/2006/relationships/footer" Target="footer115.xml" /><Relationship Id="rId734" Type="http://schemas.openxmlformats.org/officeDocument/2006/relationships/footer" Target="footer116.xml" /><Relationship Id="rId735" Type="http://schemas.openxmlformats.org/officeDocument/2006/relationships/header" Target="header117.xml" /><Relationship Id="rId736" Type="http://schemas.openxmlformats.org/officeDocument/2006/relationships/footer" Target="footer117.xml" /><Relationship Id="rId737" Type="http://schemas.openxmlformats.org/officeDocument/2006/relationships/hyperlink" Target="https://advance.lexis.com/api/document?collection=cases-ca&amp;id=urn:contentItem:5XYW-BJG1-JF1Y-B1XS-00000-00&amp;context=" TargetMode="External" /><Relationship Id="rId738" Type="http://schemas.openxmlformats.org/officeDocument/2006/relationships/hyperlink" Target="https://advance.lexis.com/api/document?collection=legislation-ca&amp;id=urn:contentItem:5F41-1FM1-JCBX-S1FM-00000-00&amp;context=" TargetMode="External" /><Relationship Id="rId739" Type="http://schemas.openxmlformats.org/officeDocument/2006/relationships/hyperlink" Target="https://advance.lexis.com/api/document?collection=cases-ca&amp;id=urn:contentItem:5VKJ-FFG1-JSXV-G501-00000-00&amp;context=" TargetMode="External" /><Relationship Id="rId74" Type="http://schemas.openxmlformats.org/officeDocument/2006/relationships/hyperlink" Target="https://advance.lexis.com/api/document?collection=cases-ca&amp;id=urn:contentItem:5F7T-S7B1-JSRM-60N1-00000-00&amp;context=" TargetMode="External" /><Relationship Id="rId740" Type="http://schemas.openxmlformats.org/officeDocument/2006/relationships/hyperlink" Target="https://advance.lexis.com/api/document?collection=cases-ca&amp;id=urn:contentItem:5HX7-VJ11-FCSB-S401-00000-00&amp;context=" TargetMode="External" /><Relationship Id="rId741" Type="http://schemas.openxmlformats.org/officeDocument/2006/relationships/hyperlink" Target="https://advance.lexis.com/api/document?collection=cases-ca&amp;id=urn:contentItem:5F7T-S771-JWBS-61CW-00000-00&amp;context=" TargetMode="External" /><Relationship Id="rId742" Type="http://schemas.openxmlformats.org/officeDocument/2006/relationships/hyperlink" Target="https://advance.lexis.com/api/document?collection=cases-ca&amp;id=urn:contentItem:5F7T-S781-F06F-240G-00000-00&amp;context=" TargetMode="External" /><Relationship Id="rId743" Type="http://schemas.openxmlformats.org/officeDocument/2006/relationships/hyperlink" Target="https://advance.lexis.com/api/document?collection=cases-ca&amp;id=urn:contentItem:5F8P-SCT1-JTNR-M30K-00000-00&amp;context=" TargetMode="External" /><Relationship Id="rId744" Type="http://schemas.openxmlformats.org/officeDocument/2006/relationships/hyperlink" Target="https://advance.lexis.com/api/document?collection=cases-ca&amp;id=urn:contentItem:5SJD-51G1-F016-S1Y6-00000-00&amp;context=" TargetMode="External" /><Relationship Id="rId745" Type="http://schemas.openxmlformats.org/officeDocument/2006/relationships/hyperlink" Target="https://advance.lexis.com/api/document?collection=cases-ca&amp;id=urn:contentItem:5F16-9371-JJK6-S2P3-00000-00&amp;context=" TargetMode="External" /><Relationship Id="rId746" Type="http://schemas.openxmlformats.org/officeDocument/2006/relationships/hyperlink" Target="https://advance.lexis.com/api/document?collection=cases-ca&amp;id=urn:contentItem:5F7T-S7J1-JYYX-62HS-00000-00&amp;context=" TargetMode="External" /><Relationship Id="rId747" Type="http://schemas.openxmlformats.org/officeDocument/2006/relationships/hyperlink" Target="https://advance.lexis.com/api/document?collection=cases-ca&amp;id=urn:contentItem:5F7T-S7N1-DXWW-20KF-00000-00&amp;context=" TargetMode="External" /><Relationship Id="rId748" Type="http://schemas.openxmlformats.org/officeDocument/2006/relationships/hyperlink" Target="https://advance.lexis.com/api/document?collection=cases-ca&amp;id=urn:contentItem:5SCP-WYK1-JB7K-238P-00000-00&amp;context=" TargetMode="External" /><Relationship Id="rId749" Type="http://schemas.openxmlformats.org/officeDocument/2006/relationships/hyperlink" Target="https://advance.lexis.com/api/document?collection=cases-ca&amp;id=urn:contentItem:5F7T-S7M1-F4W2-624B-00000-00&amp;context=" TargetMode="External" /><Relationship Id="rId75" Type="http://schemas.openxmlformats.org/officeDocument/2006/relationships/hyperlink" Target="https://advance.lexis.com/api/document?collection=cases-ca&amp;id=urn:contentItem:5F7T-S7F1-JK4W-M194-00000-00&amp;context=" TargetMode="External" /><Relationship Id="rId750" Type="http://schemas.openxmlformats.org/officeDocument/2006/relationships/hyperlink" Target="https://advance.lexis.com/api/document?collection=cases-ca&amp;id=urn:contentItem:5F7T-S6Y1-JTNR-M4B7-00000-00&amp;context=" TargetMode="External" /><Relationship Id="rId751" Type="http://schemas.openxmlformats.org/officeDocument/2006/relationships/hyperlink" Target="https://advance.lexis.com/api/document?collection=cases-ca&amp;id=urn:contentItem:5F7T-S7K1-JNY7-X4JT-00000-00&amp;context=" TargetMode="External" /><Relationship Id="rId752" Type="http://schemas.openxmlformats.org/officeDocument/2006/relationships/hyperlink" Target="https://advance.lexis.com/api/document?collection=cases-ca&amp;id=urn:contentItem:5F8T-N3T1-JGHR-M26G-00000-00&amp;context=" TargetMode="External" /><Relationship Id="rId753" Type="http://schemas.openxmlformats.org/officeDocument/2006/relationships/hyperlink" Target="https://advance.lexis.com/api/document?collection=cases-ca&amp;id=urn:contentItem:5F8N-K711-FH4C-X0Y2-00000-00&amp;context=" TargetMode="External" /><Relationship Id="rId754" Type="http://schemas.openxmlformats.org/officeDocument/2006/relationships/hyperlink" Target="https://advance.lexis.com/api/document?collection=cases-ca&amp;id=urn:contentItem:5F7T-S7M1-JCRC-B1PV-00000-00&amp;context=" TargetMode="External" /><Relationship Id="rId755" Type="http://schemas.openxmlformats.org/officeDocument/2006/relationships/hyperlink" Target="https://advance.lexis.com/api/document?collection=cases-ca&amp;id=urn:contentItem:5F7T-S7J1-FGCG-S094-00000-00&amp;context=" TargetMode="External" /><Relationship Id="rId756" Type="http://schemas.openxmlformats.org/officeDocument/2006/relationships/hyperlink" Target="https://advance.lexis.com/api/document?collection=cases-ca&amp;id=urn:contentItem:5F7T-S781-F900-G0SS-00000-00&amp;context=" TargetMode="External" /><Relationship Id="rId757" Type="http://schemas.openxmlformats.org/officeDocument/2006/relationships/hyperlink" Target="https://advance.lexis.com/api/document?collection=cases-ca&amp;id=urn:contentItem:5F7T-S7H1-JFSV-G38X-00000-00&amp;context=" TargetMode="External" /><Relationship Id="rId758" Type="http://schemas.openxmlformats.org/officeDocument/2006/relationships/hyperlink" Target="https://advance.lexis.com/api/document?collection=cases-ca&amp;id=urn:contentItem:5F7T-S7K1-JX3N-B2MD-00000-00&amp;context=" TargetMode="External" /><Relationship Id="rId759" Type="http://schemas.openxmlformats.org/officeDocument/2006/relationships/hyperlink" Target="https://advance.lexis.com/api/document?collection=cases-ca&amp;id=urn:contentItem:5F7T-S7M1-JPP5-22JT-00000-00&amp;context=" TargetMode="External" /><Relationship Id="rId76" Type="http://schemas.openxmlformats.org/officeDocument/2006/relationships/hyperlink" Target="https://advance.lexis.com/api/document?collection=cases-ca&amp;id=urn:contentItem:5F7T-S7C1-JS0R-2262-00000-00&amp;context=" TargetMode="External" /><Relationship Id="rId760" Type="http://schemas.openxmlformats.org/officeDocument/2006/relationships/hyperlink" Target="https://advance.lexis.com/api/document?collection=cases-ca&amp;id=urn:contentItem:5GSP-CPF1-JB7K-2009-00000-00&amp;context=" TargetMode="External" /><Relationship Id="rId761" Type="http://schemas.openxmlformats.org/officeDocument/2006/relationships/hyperlink" Target="https://advance.lexis.com/api/document?collection=cases-ca&amp;id=urn:contentItem:5F7T-S731-JC0G-637P-00000-00&amp;context=" TargetMode="External" /><Relationship Id="rId762" Type="http://schemas.openxmlformats.org/officeDocument/2006/relationships/hyperlink" Target="https://advance.lexis.com/api/document?collection=cases-ca&amp;id=urn:contentItem:5F7T-S7P1-JCRC-B23D-00000-00&amp;context=" TargetMode="External" /><Relationship Id="rId763" Type="http://schemas.openxmlformats.org/officeDocument/2006/relationships/hyperlink" Target="https://advance.lexis.com/api/document?collection=cases-ca&amp;id=urn:contentItem:5F7T-S7K1-JSJC-X16N-00000-00&amp;context=" TargetMode="External" /><Relationship Id="rId764" Type="http://schemas.openxmlformats.org/officeDocument/2006/relationships/hyperlink" Target="https://advance.lexis.com/api/document?collection=cases-ca&amp;id=urn:contentItem:5F7T-S7M1-JNCK-22D3-00000-00&amp;context=" TargetMode="External" /><Relationship Id="rId765" Type="http://schemas.openxmlformats.org/officeDocument/2006/relationships/hyperlink" Target="https://advance.lexis.com/api/document?collection=cases-ca&amp;id=urn:contentItem:5R32-47Y1-F2TK-221B-00000-00&amp;context=" TargetMode="External" /><Relationship Id="rId766" Type="http://schemas.openxmlformats.org/officeDocument/2006/relationships/hyperlink" Target="https://advance.lexis.com/api/document?collection=cases-ca&amp;id=urn:contentItem:5F7T-S7K1-DY33-B1G4-00000-00&amp;context=" TargetMode="External" /><Relationship Id="rId767" Type="http://schemas.openxmlformats.org/officeDocument/2006/relationships/header" Target="header118.xml" /><Relationship Id="rId768" Type="http://schemas.openxmlformats.org/officeDocument/2006/relationships/header" Target="header119.xml" /><Relationship Id="rId769" Type="http://schemas.openxmlformats.org/officeDocument/2006/relationships/footer" Target="footer118.xml" /><Relationship Id="rId77" Type="http://schemas.openxmlformats.org/officeDocument/2006/relationships/hyperlink" Target="https://advance.lexis.com/api/document?collection=cases-ca&amp;id=urn:contentItem:5F7T-S7D1-FFFC-B19N-00000-00&amp;context=" TargetMode="External" /><Relationship Id="rId770" Type="http://schemas.openxmlformats.org/officeDocument/2006/relationships/footer" Target="footer119.xml" /><Relationship Id="rId771" Type="http://schemas.openxmlformats.org/officeDocument/2006/relationships/header" Target="header120.xml" /><Relationship Id="rId772" Type="http://schemas.openxmlformats.org/officeDocument/2006/relationships/footer" Target="footer120.xml" /><Relationship Id="rId773" Type="http://schemas.openxmlformats.org/officeDocument/2006/relationships/hyperlink" Target="https://advance.lexis.com/api/document?collection=cases-ca&amp;id=urn:contentItem:5WK2-N5H1-JWXF-200D-00000-00&amp;context=" TargetMode="External" /><Relationship Id="rId774" Type="http://schemas.openxmlformats.org/officeDocument/2006/relationships/hyperlink" Target="https://advance.lexis.com/api/document?collection=cases-ca&amp;id=urn:contentItem:5XS5-37N1-FJTD-G2J5-00000-00&amp;context=" TargetMode="External" /><Relationship Id="rId775" Type="http://schemas.openxmlformats.org/officeDocument/2006/relationships/hyperlink" Target="https://advance.lexis.com/api/document?collection=cases-ca&amp;id=urn:contentItem:5F7T-S7N1-JJ1H-X31K-00000-00&amp;context=" TargetMode="External" /><Relationship Id="rId776" Type="http://schemas.openxmlformats.org/officeDocument/2006/relationships/hyperlink" Target="https://advance.lexis.com/api/document?collection=cases-ca&amp;id=urn:contentItem:5NSB-PR71-K054-G3CG-00000-00&amp;context=" TargetMode="External" /><Relationship Id="rId777" Type="http://schemas.openxmlformats.org/officeDocument/2006/relationships/hyperlink" Target="https://advance.lexis.com/api/document?collection=cases-ca&amp;id=urn:contentItem:5PVF-9W91-JP4G-63P6-00000-00&amp;context=" TargetMode="External" /><Relationship Id="rId778" Type="http://schemas.openxmlformats.org/officeDocument/2006/relationships/hyperlink" Target="https://advance.lexis.com/api/document?collection=cases-ca&amp;id=urn:contentItem:5K3Y-46B1-JXG3-X0TV-00000-00&amp;context=" TargetMode="External" /><Relationship Id="rId779" Type="http://schemas.openxmlformats.org/officeDocument/2006/relationships/hyperlink" Target="https://advance.lexis.com/api/document?collection=cases-ca&amp;id=urn:contentItem:5PFS-5W81-DYV0-G198-00000-00&amp;context=" TargetMode="External" /><Relationship Id="rId78" Type="http://schemas.openxmlformats.org/officeDocument/2006/relationships/header" Target="header16.xml" /><Relationship Id="rId780" Type="http://schemas.openxmlformats.org/officeDocument/2006/relationships/hyperlink" Target="https://advance.lexis.com/api/document?collection=cases-ca&amp;id=urn:contentItem:5T4V-0771-JW5H-X1VX-00000-00&amp;context=" TargetMode="External" /><Relationship Id="rId781" Type="http://schemas.openxmlformats.org/officeDocument/2006/relationships/hyperlink" Target="https://advance.lexis.com/api/document?collection=cases-ca&amp;id=urn:contentItem:5F7T-S791-JCJ5-255K-00000-00&amp;context=" TargetMode="External" /><Relationship Id="rId782" Type="http://schemas.openxmlformats.org/officeDocument/2006/relationships/hyperlink" Target="https://advance.lexis.com/api/document?collection=cases-ca&amp;id=urn:contentItem:5GCC-XVB1-JGHR-M4RP-00000-00&amp;context=" TargetMode="External" /><Relationship Id="rId783" Type="http://schemas.openxmlformats.org/officeDocument/2006/relationships/hyperlink" Target="https://advance.lexis.com/api/document?collection=cases-ca&amp;id=urn:contentItem:5GF9-8HG1-FCYK-20XP-00000-00&amp;context=" TargetMode="External" /><Relationship Id="rId784" Type="http://schemas.openxmlformats.org/officeDocument/2006/relationships/hyperlink" Target="https://advance.lexis.com/api/document?collection=cases-ca&amp;id=urn:contentItem:5TD3-N221-JC0G-637M-00000-00&amp;context=" TargetMode="External" /><Relationship Id="rId785" Type="http://schemas.openxmlformats.org/officeDocument/2006/relationships/hyperlink" Target="https://advance.lexis.com/api/document?collection=cases-ca&amp;id=urn:contentItem:5NDB-4M41-F956-S0BN-00000-00&amp;context=" TargetMode="External" /><Relationship Id="rId786" Type="http://schemas.openxmlformats.org/officeDocument/2006/relationships/hyperlink" Target="https://advance.lexis.com/api/document?collection=cases-ca&amp;id=urn:contentItem:5F7T-S7H1-F4GK-M3DN-00000-00&amp;context=" TargetMode="External" /><Relationship Id="rId787" Type="http://schemas.openxmlformats.org/officeDocument/2006/relationships/hyperlink" Target="https://advance.lexis.com/api/document?collection=cases-ca&amp;id=urn:contentItem:5F7T-S7M1-JJK6-S21H-00000-00&amp;context=" TargetMode="External" /><Relationship Id="rId788" Type="http://schemas.openxmlformats.org/officeDocument/2006/relationships/header" Target="header121.xml" /><Relationship Id="rId789" Type="http://schemas.openxmlformats.org/officeDocument/2006/relationships/header" Target="header122.xml" /><Relationship Id="rId79" Type="http://schemas.openxmlformats.org/officeDocument/2006/relationships/header" Target="header17.xml" /><Relationship Id="rId790" Type="http://schemas.openxmlformats.org/officeDocument/2006/relationships/footer" Target="footer121.xml" /><Relationship Id="rId791" Type="http://schemas.openxmlformats.org/officeDocument/2006/relationships/footer" Target="footer122.xml" /><Relationship Id="rId792" Type="http://schemas.openxmlformats.org/officeDocument/2006/relationships/header" Target="header123.xml" /><Relationship Id="rId793" Type="http://schemas.openxmlformats.org/officeDocument/2006/relationships/footer" Target="footer123.xml" /><Relationship Id="rId794" Type="http://schemas.openxmlformats.org/officeDocument/2006/relationships/hyperlink" Target="https://advance.lexis.com/api/document?collection=cases-ca&amp;id=urn:contentItem:5F7T-S7M1-DYMS-62HH-00000-00&amp;context=" TargetMode="External" /><Relationship Id="rId795" Type="http://schemas.openxmlformats.org/officeDocument/2006/relationships/hyperlink" Target="https://advance.lexis.com/api/document?collection=cases-ca&amp;id=urn:contentItem:5K6X-WKJ1-F06F-20KJ-00000-00&amp;context=" TargetMode="External" /><Relationship Id="rId796" Type="http://schemas.openxmlformats.org/officeDocument/2006/relationships/hyperlink" Target="https://advance.lexis.com/api/document?collection=cases-ca&amp;id=urn:contentItem:5F8T-N3V1-JTGH-B1CN-00000-00&amp;context=" TargetMode="External" /><Relationship Id="rId797" Type="http://schemas.openxmlformats.org/officeDocument/2006/relationships/header" Target="header124.xml" /><Relationship Id="rId798" Type="http://schemas.openxmlformats.org/officeDocument/2006/relationships/header" Target="header125.xml" /><Relationship Id="rId799" Type="http://schemas.openxmlformats.org/officeDocument/2006/relationships/footer" Target="footer124.xml" /><Relationship Id="rId8" Type="http://schemas.openxmlformats.org/officeDocument/2006/relationships/header" Target="header3.xml" /><Relationship Id="rId80" Type="http://schemas.openxmlformats.org/officeDocument/2006/relationships/footer" Target="footer16.xml" /><Relationship Id="rId800" Type="http://schemas.openxmlformats.org/officeDocument/2006/relationships/footer" Target="footer125.xml" /><Relationship Id="rId801" Type="http://schemas.openxmlformats.org/officeDocument/2006/relationships/header" Target="header126.xml" /><Relationship Id="rId802" Type="http://schemas.openxmlformats.org/officeDocument/2006/relationships/footer" Target="footer126.xml" /><Relationship Id="rId803" Type="http://schemas.openxmlformats.org/officeDocument/2006/relationships/hyperlink" Target="https://advance.lexis.com/api/document?collection=cases-ca&amp;id=urn:contentItem:5F7T-S7F1-JFKM-61H1-00000-00&amp;context=" TargetMode="External" /><Relationship Id="rId804" Type="http://schemas.openxmlformats.org/officeDocument/2006/relationships/hyperlink" Target="https://advance.lexis.com/api/document?collection=cases-ca&amp;id=urn:contentItem:5K6Y-81M1-JGPY-X1M7-00000-00&amp;context=" TargetMode="External" /><Relationship Id="rId805" Type="http://schemas.openxmlformats.org/officeDocument/2006/relationships/hyperlink" Target="https://advance.lexis.com/api/document?collection=cases-ca&amp;id=urn:contentItem:5F7T-S6V1-JTNR-M30K-00000-00&amp;context=" TargetMode="External" /><Relationship Id="rId806" Type="http://schemas.openxmlformats.org/officeDocument/2006/relationships/hyperlink" Target="https://advance.lexis.com/api/document?collection=cases-ca&amp;id=urn:contentItem:5F7T-S7C1-JSRM-60W1-00000-00&amp;context=" TargetMode="External" /><Relationship Id="rId807" Type="http://schemas.openxmlformats.org/officeDocument/2006/relationships/hyperlink" Target="https://advance.lexis.com/api/document?collection=cases-ca&amp;id=urn:contentItem:5F7T-S7D1-FCSB-S31M-00000-00&amp;context=" TargetMode="External" /><Relationship Id="rId808" Type="http://schemas.openxmlformats.org/officeDocument/2006/relationships/hyperlink" Target="https://advance.lexis.com/api/document?collection=cases-ca&amp;id=urn:contentItem:5F7T-S7F1-FFFC-B23F-00000-00&amp;context=" TargetMode="External" /><Relationship Id="rId809" Type="http://schemas.openxmlformats.org/officeDocument/2006/relationships/hyperlink" Target="https://advance.lexis.com/api/document?collection=cases-ca&amp;id=urn:contentItem:5F82-1SH1-JCBX-S310-00000-00&amp;context=" TargetMode="External" /><Relationship Id="rId81" Type="http://schemas.openxmlformats.org/officeDocument/2006/relationships/footer" Target="footer17.xml" /><Relationship Id="rId810" Type="http://schemas.openxmlformats.org/officeDocument/2006/relationships/hyperlink" Target="https://advance.lexis.com/api/document?collection=cases-ca&amp;id=urn:contentItem:5F7T-S761-FGJR-228H-00000-00&amp;context=" TargetMode="External" /><Relationship Id="rId811" Type="http://schemas.openxmlformats.org/officeDocument/2006/relationships/hyperlink" Target="https://advance.lexis.com/api/document?collection=cases-ca&amp;id=urn:contentItem:5F8T-N3V1-JTGH-B0Y9-00000-00&amp;context=" TargetMode="External" /><Relationship Id="rId812" Type="http://schemas.openxmlformats.org/officeDocument/2006/relationships/hyperlink" Target="https://advance.lexis.com/api/document?collection=cases-ca&amp;id=urn:contentItem:5F7T-S741-FJM6-61BF-00000-00&amp;context=" TargetMode="External" /><Relationship Id="rId813" Type="http://schemas.openxmlformats.org/officeDocument/2006/relationships/hyperlink" Target="https://advance.lexis.com/api/document?collection=cases-ca&amp;id=urn:contentItem:5F8N-K701-F528-G1NT-00000-00&amp;context=" TargetMode="External" /><Relationship Id="rId814" Type="http://schemas.openxmlformats.org/officeDocument/2006/relationships/hyperlink" Target="https://advance.lexis.com/api/document?collection=cases-ca&amp;id=urn:contentItem:5F8T-N3V1-JTGH-B13W-00000-00&amp;context=" TargetMode="External" /><Relationship Id="rId815" Type="http://schemas.openxmlformats.org/officeDocument/2006/relationships/hyperlink" Target="https://advance.lexis.com/api/document?collection=cases-ca&amp;id=urn:contentItem:5F7T-S7F1-JK4W-M1R2-00000-00&amp;context=" TargetMode="External" /><Relationship Id="rId816" Type="http://schemas.openxmlformats.org/officeDocument/2006/relationships/hyperlink" Target="https://advance.lexis.com/api/document?collection=cases-ca&amp;id=urn:contentItem:5F7T-S781-FH4C-X2R3-00000-00&amp;context=" TargetMode="External" /><Relationship Id="rId817" Type="http://schemas.openxmlformats.org/officeDocument/2006/relationships/hyperlink" Target="https://advance.lexis.com/api/document?collection=cases-ca&amp;id=urn:contentItem:5F7T-S7F1-FFFC-B1RJ-00000-00&amp;context=" TargetMode="External" /><Relationship Id="rId818" Type="http://schemas.openxmlformats.org/officeDocument/2006/relationships/hyperlink" Target="https://advance.lexis.com/api/document?collection=cases-ca&amp;id=urn:contentItem:5F7T-S7F1-FFFC-B1NR-00000-00&amp;context=" TargetMode="External" /><Relationship Id="rId819" Type="http://schemas.openxmlformats.org/officeDocument/2006/relationships/hyperlink" Target="https://advance.lexis.com/api/document?collection=cases-ca&amp;id=urn:contentItem:5F7T-S7D1-FBFS-S1WM-00000-00&amp;context=" TargetMode="External" /><Relationship Id="rId82" Type="http://schemas.openxmlformats.org/officeDocument/2006/relationships/header" Target="header18.xml" /><Relationship Id="rId820" Type="http://schemas.openxmlformats.org/officeDocument/2006/relationships/header" Target="header127.xml" /><Relationship Id="rId821" Type="http://schemas.openxmlformats.org/officeDocument/2006/relationships/header" Target="header128.xml" /><Relationship Id="rId822" Type="http://schemas.openxmlformats.org/officeDocument/2006/relationships/footer" Target="footer127.xml" /><Relationship Id="rId823" Type="http://schemas.openxmlformats.org/officeDocument/2006/relationships/footer" Target="footer128.xml" /><Relationship Id="rId824" Type="http://schemas.openxmlformats.org/officeDocument/2006/relationships/header" Target="header129.xml" /><Relationship Id="rId825" Type="http://schemas.openxmlformats.org/officeDocument/2006/relationships/footer" Target="footer129.xml" /><Relationship Id="rId826" Type="http://schemas.openxmlformats.org/officeDocument/2006/relationships/hyperlink" Target="https://advance.lexis.com/api/document?collection=cases-ca&amp;id=urn:contentItem:5F7T-S7P1-F2TK-2360-00000-00&amp;context=" TargetMode="External" /><Relationship Id="rId827" Type="http://schemas.openxmlformats.org/officeDocument/2006/relationships/hyperlink" Target="https://advance.lexis.com/api/document?collection=legislation-ca&amp;id=urn:contentItem:5FC2-81Y1-FFTT-X4R4-00000-00&amp;context=" TargetMode="External" /><Relationship Id="rId828" Type="http://schemas.openxmlformats.org/officeDocument/2006/relationships/hyperlink" Target="https://advance.lexis.com/api/document?collection=legislation-ca&amp;id=urn:contentItem:5VYK-WB21-F900-G133-00000-00&amp;context=" TargetMode="External" /><Relationship Id="rId829" Type="http://schemas.openxmlformats.org/officeDocument/2006/relationships/hyperlink" Target="https://advance.lexis.com/api/document?collection=legislation-ca&amp;id=urn:contentItem:5VYK-W9V1-F4NT-X509-00000-00&amp;context=" TargetMode="External" /><Relationship Id="rId83" Type="http://schemas.openxmlformats.org/officeDocument/2006/relationships/footer" Target="footer18.xml" /><Relationship Id="rId830" Type="http://schemas.openxmlformats.org/officeDocument/2006/relationships/hyperlink" Target="https://advance.lexis.com/api/document?collection=legislation-ca&amp;id=urn:contentItem:5F3B-B7W1-JTGH-B015-00000-00&amp;context=" TargetMode="External" /><Relationship Id="rId831" Type="http://schemas.openxmlformats.org/officeDocument/2006/relationships/hyperlink" Target="https://advance.lexis.com/api/document?collection=legislation-ca&amp;id=urn:contentItem:5F3B-B9T1-JB2B-S0J2-00000-00&amp;context=" TargetMode="External" /><Relationship Id="rId832" Type="http://schemas.openxmlformats.org/officeDocument/2006/relationships/hyperlink" Target="https://advance.lexis.com/api/document?collection=legislation-ca&amp;id=urn:contentItem:5VYK-WB71-JW5H-X1GN-00000-00&amp;context=" TargetMode="External" /><Relationship Id="rId833" Type="http://schemas.openxmlformats.org/officeDocument/2006/relationships/hyperlink" Target="https://advance.lexis.com/api/document?collection=legislation-ca&amp;id=urn:contentItem:5F3B-BC31-DYFH-X2GC-00000-00&amp;context=" TargetMode="External" /><Relationship Id="rId834" Type="http://schemas.openxmlformats.org/officeDocument/2006/relationships/hyperlink" Target="https://advance.lexis.com/api/document?collection=legislation-ca&amp;id=urn:contentItem:5VYK-W9W1-JJSF-220N-00000-00&amp;context=" TargetMode="External" /><Relationship Id="rId835" Type="http://schemas.openxmlformats.org/officeDocument/2006/relationships/hyperlink" Target="https://advance.lexis.com/api/document?collection=legislation-ca&amp;id=urn:contentItem:5VYK-WB01-JW5H-X1G8-00000-00&amp;context=" TargetMode="External" /><Relationship Id="rId836" Type="http://schemas.openxmlformats.org/officeDocument/2006/relationships/hyperlink" Target="https://advance.lexis.com/api/document?collection=legislation-ca&amp;id=urn:contentItem:5VYK-W9Y1-F2MB-S2P9-00000-00&amp;context=" TargetMode="External" /><Relationship Id="rId837" Type="http://schemas.openxmlformats.org/officeDocument/2006/relationships/hyperlink" Target="https://advance.lexis.com/api/document?collection=cases-ca&amp;id=urn:contentItem:5F7T-S7F1-JFKM-61VX-00000-00&amp;context=" TargetMode="External" /><Relationship Id="rId838" Type="http://schemas.openxmlformats.org/officeDocument/2006/relationships/hyperlink" Target="https://advance.lexis.com/api/document?collection=cases-ca&amp;id=urn:contentItem:5F7T-S7G1-JWR6-S1R8-00000-00&amp;context=" TargetMode="External" /><Relationship Id="rId839" Type="http://schemas.openxmlformats.org/officeDocument/2006/relationships/hyperlink" Target="https://advance.lexis.com/api/document?collection=cases-ca&amp;id=urn:contentItem:5F82-1SH1-F22N-X2CF-00000-00&amp;context=" TargetMode="External" /><Relationship Id="rId84" Type="http://schemas.openxmlformats.org/officeDocument/2006/relationships/hyperlink" Target="https://advance.lexis.com/api/document?collection=cases-ca&amp;id=urn:contentItem:5F7T-S7F1-FJTD-G393-00000-00&amp;context=" TargetMode="External" /><Relationship Id="rId840" Type="http://schemas.openxmlformats.org/officeDocument/2006/relationships/hyperlink" Target="https://advance.lexis.com/api/document?collection=cases-ca&amp;id=urn:contentItem:5F8W-M4D1-F8D9-M4GT-00000-00&amp;context=" TargetMode="External" /><Relationship Id="rId841" Type="http://schemas.openxmlformats.org/officeDocument/2006/relationships/hyperlink" Target="https://advance.lexis.com/api/document?collection=cases-ca&amp;id=urn:contentItem:5F8T-N3V1-FH4C-X1WY-00000-00&amp;context=" TargetMode="External" /><Relationship Id="rId842" Type="http://schemas.openxmlformats.org/officeDocument/2006/relationships/hyperlink" Target="https://advance.lexis.com/api/document?collection=cases-ca&amp;id=urn:contentItem:5F8T-N3V1-FH4C-X22P-00000-00&amp;context=" TargetMode="External" /><Relationship Id="rId843" Type="http://schemas.openxmlformats.org/officeDocument/2006/relationships/hyperlink" Target="https://advance.lexis.com/api/document?collection=cases-ca&amp;id=urn:contentItem:5F8T-N3V1-JTGH-B12R-00000-00&amp;context=" TargetMode="External" /><Relationship Id="rId844" Type="http://schemas.openxmlformats.org/officeDocument/2006/relationships/hyperlink" Target="https://advance.lexis.com/api/document?collection=cases-ca&amp;id=urn:contentItem:5F8T-N3V1-JTGH-B15G-00000-00&amp;context=" TargetMode="External" /><Relationship Id="rId845" Type="http://schemas.openxmlformats.org/officeDocument/2006/relationships/hyperlink" Target="https://advance.lexis.com/api/document?collection=cases-ca&amp;id=urn:contentItem:5F8T-N3V1-FC1F-M439-00000-00&amp;context=" TargetMode="External" /><Relationship Id="rId846" Type="http://schemas.openxmlformats.org/officeDocument/2006/relationships/hyperlink" Target="https://advance.lexis.com/api/document?collection=cases-ca&amp;id=urn:contentItem:5F8P-SBX1-DYV0-G3MX-00000-00&amp;context=" TargetMode="External" /><Relationship Id="rId847" Type="http://schemas.openxmlformats.org/officeDocument/2006/relationships/hyperlink" Target="https://advance.lexis.com/api/document?collection=cases-ca&amp;id=urn:contentItem:5F8T-N3N1-FCYK-236R-00000-00&amp;context=" TargetMode="External" /><Relationship Id="rId848" Type="http://schemas.openxmlformats.org/officeDocument/2006/relationships/hyperlink" Target="https://advance.lexis.com/api/document?collection=cases-ca&amp;id=urn:contentItem:5F8T-N3N1-FCYK-239B-00000-00&amp;context=" TargetMode="External" /><Relationship Id="rId849" Type="http://schemas.openxmlformats.org/officeDocument/2006/relationships/hyperlink" Target="https://advance.lexis.com/api/document?collection=cases-ca&amp;id=urn:contentItem:5F8T-N3V1-JF75-M3WJ-00000-00&amp;context=" TargetMode="External" /><Relationship Id="rId85" Type="http://schemas.openxmlformats.org/officeDocument/2006/relationships/hyperlink" Target="https://advance.lexis.com/api/document?collection=cases-ca&amp;id=urn:contentItem:5F7T-S761-F81W-21RS-00000-00&amp;context=" TargetMode="External" /><Relationship Id="rId850" Type="http://schemas.openxmlformats.org/officeDocument/2006/relationships/hyperlink" Target="https://advance.lexis.com/api/document?collection=cases-ca&amp;id=urn:contentItem:5F8T-N3T1-JJSF-2339-00000-00&amp;context=" TargetMode="External" /><Relationship Id="rId851" Type="http://schemas.openxmlformats.org/officeDocument/2006/relationships/hyperlink" Target="https://advance.lexis.com/api/document?collection=cases-ca&amp;id=urn:contentItem:5F7T-S7C1-F4NT-X30M-00000-00&amp;context=" TargetMode="External" /><Relationship Id="rId852" Type="http://schemas.openxmlformats.org/officeDocument/2006/relationships/hyperlink" Target="https://advance.lexis.com/api/document?collection=cases-ca&amp;id=urn:contentItem:5F8T-N3V1-JTGH-B19N-00000-00&amp;context=" TargetMode="External" /><Relationship Id="rId853" Type="http://schemas.openxmlformats.org/officeDocument/2006/relationships/hyperlink" Target="https://advance.lexis.com/api/document?collection=cases-ca&amp;id=urn:contentItem:5F8T-N3V1-FC1F-M49J-00000-00&amp;context=" TargetMode="External" /><Relationship Id="rId854" Type="http://schemas.openxmlformats.org/officeDocument/2006/relationships/hyperlink" Target="https://advance.lexis.com/api/document?collection=cases-ca&amp;id=urn:contentItem:5F81-VJX1-FCK4-G1NM-00000-00&amp;context=" TargetMode="External" /><Relationship Id="rId855" Type="http://schemas.openxmlformats.org/officeDocument/2006/relationships/hyperlink" Target="https://advance.lexis.com/api/document?collection=cases-ca&amp;id=urn:contentItem:5F7T-S711-JB2B-S0W5-00000-00&amp;context=" TargetMode="External" /><Relationship Id="rId856" Type="http://schemas.openxmlformats.org/officeDocument/2006/relationships/hyperlink" Target="https://advance.lexis.com/api/document?collection=cases-ca&amp;id=urn:contentItem:5F8T-N3T1-JJSF-23F8-00000-00&amp;context=" TargetMode="External" /><Relationship Id="rId857" Type="http://schemas.openxmlformats.org/officeDocument/2006/relationships/hyperlink" Target="https://advance.lexis.com/api/document?collection=cases-ca&amp;id=urn:contentItem:5F8W-M471-F8D9-M3RM-00000-00&amp;context=" TargetMode="External" /><Relationship Id="rId858" Type="http://schemas.openxmlformats.org/officeDocument/2006/relationships/hyperlink" Target="https://advance.lexis.com/api/document?collection=cases-ca&amp;id=urn:contentItem:5F8W-M491-F65M-607N-00000-00&amp;context=" TargetMode="External" /><Relationship Id="rId859" Type="http://schemas.openxmlformats.org/officeDocument/2006/relationships/hyperlink" Target="https://advance.lexis.com/api/document?collection=cases-ca&amp;id=urn:contentItem:5F8P-SDK1-JP9P-G3N4-00000-00&amp;context=" TargetMode="External" /><Relationship Id="rId86" Type="http://schemas.openxmlformats.org/officeDocument/2006/relationships/header" Target="header19.xml" /><Relationship Id="rId860" Type="http://schemas.openxmlformats.org/officeDocument/2006/relationships/hyperlink" Target="https://advance.lexis.com/api/document?collection=cases-ca&amp;id=urn:contentItem:5F7F-5RH1-JTGH-B06S-00000-00&amp;context=" TargetMode="External" /><Relationship Id="rId861" Type="http://schemas.openxmlformats.org/officeDocument/2006/relationships/hyperlink" Target="https://advance.lexis.com/api/document?collection=cases-ca&amp;id=urn:contentItem:5F8T-N3T1-JJSF-233X-00000-00&amp;context=" TargetMode="External" /><Relationship Id="rId862" Type="http://schemas.openxmlformats.org/officeDocument/2006/relationships/hyperlink" Target="https://advance.lexis.com/api/document?collection=cases-ca&amp;id=urn:contentItem:5F8T-N3V1-FH4C-X22C-00000-00&amp;context=" TargetMode="External" /><Relationship Id="rId863" Type="http://schemas.openxmlformats.org/officeDocument/2006/relationships/hyperlink" Target="https://advance.lexis.com/api/document?collection=cases-ca&amp;id=urn:contentItem:5F8P-SF11-FFTT-X2W1-00000-00&amp;context=" TargetMode="External" /><Relationship Id="rId864" Type="http://schemas.openxmlformats.org/officeDocument/2006/relationships/hyperlink" Target="https://advance.lexis.com/api/document?collection=cases-ca&amp;id=urn:contentItem:5F81-VJY1-JWBS-64NR-00000-00&amp;context=" TargetMode="External" /><Relationship Id="rId865" Type="http://schemas.openxmlformats.org/officeDocument/2006/relationships/hyperlink" Target="https://advance.lexis.com/api/document?collection=cases-ca&amp;id=urn:contentItem:5F8T-N3V1-JFKM-605T-00000-00&amp;context=" TargetMode="External" /><Relationship Id="rId866" Type="http://schemas.openxmlformats.org/officeDocument/2006/relationships/hyperlink" Target="https://advance.lexis.com/api/document?collection=cases-ca&amp;id=urn:contentItem:5F8T-N3T1-JJSF-23MW-00000-00&amp;context=" TargetMode="External" /><Relationship Id="rId867" Type="http://schemas.openxmlformats.org/officeDocument/2006/relationships/hyperlink" Target="https://advance.lexis.com/api/document?collection=cases-ca&amp;id=urn:contentItem:5F8T-N3V1-FH4C-X1WT-00000-00&amp;context=" TargetMode="External" /><Relationship Id="rId868" Type="http://schemas.openxmlformats.org/officeDocument/2006/relationships/hyperlink" Target="https://advance.lexis.com/api/document?collection=cases-ca&amp;id=urn:contentItem:5F8T-N3V1-JTGH-B1CR-00000-00&amp;context=" TargetMode="External" /><Relationship Id="rId869" Type="http://schemas.openxmlformats.org/officeDocument/2006/relationships/hyperlink" Target="https://advance.lexis.com/api/document?collection=cases-ca&amp;id=urn:contentItem:5F8T-N3V1-FH4C-X1WH-00000-00&amp;context=" TargetMode="External" /><Relationship Id="rId87" Type="http://schemas.openxmlformats.org/officeDocument/2006/relationships/header" Target="header20.xml" /><Relationship Id="rId870" Type="http://schemas.openxmlformats.org/officeDocument/2006/relationships/hyperlink" Target="https://advance.lexis.com/api/document?collection=analytical-materials-ca&amp;id=urn:contentItem:5HSF-38W1-JX3N-B0BR-00000-00&amp;context=" TargetMode="External" /><Relationship Id="rId871" Type="http://schemas.openxmlformats.org/officeDocument/2006/relationships/hyperlink" Target="https://advance.lexis.com/api/document?collection=cases-ca&amp;id=urn:contentItem:5F8T-N3T1-JJSF-23F1-00000-00&amp;context=" TargetMode="External" /><Relationship Id="rId872" Type="http://schemas.openxmlformats.org/officeDocument/2006/relationships/hyperlink" Target="https://advance.lexis.com/api/document?collection=cases-ca&amp;id=urn:contentItem:5F8T-N3V1-FC1F-M41S-00000-00&amp;context=" TargetMode="External" /><Relationship Id="rId873" Type="http://schemas.openxmlformats.org/officeDocument/2006/relationships/hyperlink" Target="https://advance.lexis.com/api/document?collection=cases-ca&amp;id=urn:contentItem:5F7T-S7N1-JJ1H-X2RR-00000-00&amp;context=" TargetMode="External" /><Relationship Id="rId874" Type="http://schemas.openxmlformats.org/officeDocument/2006/relationships/hyperlink" Target="https://advance.lexis.com/api/document?collection=cases-ca&amp;id=urn:contentItem:5F82-1SJ1-JS0R-24WW-00000-00&amp;context=" TargetMode="External" /><Relationship Id="rId875" Type="http://schemas.openxmlformats.org/officeDocument/2006/relationships/hyperlink" Target="https://advance.lexis.com/api/document?collection=cases-ca&amp;id=urn:contentItem:5F8T-N3V1-FC1F-M4F4-00000-00&amp;context=" TargetMode="External" /><Relationship Id="rId876" Type="http://schemas.openxmlformats.org/officeDocument/2006/relationships/hyperlink" Target="https://advance.lexis.com/api/document?collection=cases-ca&amp;id=urn:contentItem:5F8T-N3V1-FC1F-M4F9-00000-00&amp;context=" TargetMode="External" /><Relationship Id="rId877" Type="http://schemas.openxmlformats.org/officeDocument/2006/relationships/hyperlink" Target="https://advance.lexis.com/api/document?collection=cases-ca&amp;id=urn:contentItem:5F7H-KW91-F06F-2131-00000-00&amp;context=" TargetMode="External" /><Relationship Id="rId878" Type="http://schemas.openxmlformats.org/officeDocument/2006/relationships/hyperlink" Target="https://advance.lexis.com/api/document?collection=cases-ca&amp;id=urn:contentItem:5F8T-N3V1-JTGH-B147-00000-00&amp;context=" TargetMode="External" /><Relationship Id="rId879" Type="http://schemas.openxmlformats.org/officeDocument/2006/relationships/hyperlink" Target="https://advance.lexis.com/api/document?collection=cases-ca&amp;id=urn:contentItem:5F8T-N3V1-FC1F-M45P-00000-00&amp;context=" TargetMode="External" /><Relationship Id="rId88" Type="http://schemas.openxmlformats.org/officeDocument/2006/relationships/footer" Target="footer19.xml" /><Relationship Id="rId880" Type="http://schemas.openxmlformats.org/officeDocument/2006/relationships/hyperlink" Target="https://advance.lexis.com/api/document?collection=cases-ca&amp;id=urn:contentItem:5F7T-S7J1-DXWW-252G-00000-00&amp;context=" TargetMode="External" /><Relationship Id="rId881" Type="http://schemas.openxmlformats.org/officeDocument/2006/relationships/hyperlink" Target="https://advance.lexis.com/api/document?collection=cases-ca&amp;id=urn:contentItem:5F8T-N3V1-FH4C-X1XN-00000-00&amp;context=" TargetMode="External" /><Relationship Id="rId882" Type="http://schemas.openxmlformats.org/officeDocument/2006/relationships/hyperlink" Target="https://advance.lexis.com/api/document?collection=cases-ca&amp;id=urn:contentItem:5F7T-S7F1-FFFC-B1MJ-00000-00&amp;context=" TargetMode="External" /><Relationship Id="rId883" Type="http://schemas.openxmlformats.org/officeDocument/2006/relationships/hyperlink" Target="https://advance.lexis.com/api/document?collection=cases-ca&amp;id=urn:contentItem:5F82-1SG1-JWBS-64YT-00000-00&amp;context=" TargetMode="External" /><Relationship Id="rId884" Type="http://schemas.openxmlformats.org/officeDocument/2006/relationships/hyperlink" Target="https://advance.lexis.com/api/document?collection=cases-ca&amp;id=urn:contentItem:5F16-93C1-F65M-60NC-00000-00&amp;context=" TargetMode="External" /><Relationship Id="rId885" Type="http://schemas.openxmlformats.org/officeDocument/2006/relationships/hyperlink" Target="https://advance.lexis.com/api/document?collection=cases-ca&amp;id=urn:contentItem:5F82-1SH1-JCRC-B55M-00000-00&amp;context=" TargetMode="External" /><Relationship Id="rId886" Type="http://schemas.openxmlformats.org/officeDocument/2006/relationships/hyperlink" Target="https://advance.lexis.com/api/document?collection=cases-ca&amp;id=urn:contentItem:5F7T-XPY1-JX8W-M4WV-00000-00&amp;context=" TargetMode="External" /><Relationship Id="rId887" Type="http://schemas.openxmlformats.org/officeDocument/2006/relationships/hyperlink" Target="https://advance.lexis.com/api/document?collection=cases-ca&amp;id=urn:contentItem:5F82-1SJ1-JWXF-21FT-00000-00&amp;context=" TargetMode="External" /><Relationship Id="rId888" Type="http://schemas.openxmlformats.org/officeDocument/2006/relationships/hyperlink" Target="https://advance.lexis.com/api/document?collection=cases-ca&amp;id=urn:contentItem:5F8T-N3V1-JTGH-B108-00000-00&amp;context=" TargetMode="External" /><Relationship Id="rId889" Type="http://schemas.openxmlformats.org/officeDocument/2006/relationships/hyperlink" Target="https://advance.lexis.com/api/document?collection=cases-ca&amp;id=urn:contentItem:5F8T-N3V1-JTGH-B1BC-00000-00&amp;context=" TargetMode="External" /><Relationship Id="rId89" Type="http://schemas.openxmlformats.org/officeDocument/2006/relationships/footer" Target="footer20.xml" /><Relationship Id="rId890" Type="http://schemas.openxmlformats.org/officeDocument/2006/relationships/hyperlink" Target="https://advance.lexis.com/api/document?collection=cases-ca&amp;id=urn:contentItem:5F8T-N3V1-FC1F-M4BH-00000-00&amp;context=" TargetMode="External" /><Relationship Id="rId891" Type="http://schemas.openxmlformats.org/officeDocument/2006/relationships/hyperlink" Target="https://advance.lexis.com/api/document?collection=cases-ca&amp;id=urn:contentItem:5F8T-N3V1-JTGH-B11S-00000-00&amp;context=" TargetMode="External" /><Relationship Id="rId892" Type="http://schemas.openxmlformats.org/officeDocument/2006/relationships/hyperlink" Target="https://advance.lexis.com/api/document?collection=cases-ca&amp;id=urn:contentItem:5F8T-N3S1-JT99-24M8-00000-00&amp;context=" TargetMode="External" /><Relationship Id="rId893" Type="http://schemas.openxmlformats.org/officeDocument/2006/relationships/hyperlink" Target="https://advance.lexis.com/api/document?collection=cases-ca&amp;id=urn:contentItem:5F8T-N3V1-FC1F-M4GK-00000-00&amp;context=" TargetMode="External" /><Relationship Id="rId894" Type="http://schemas.openxmlformats.org/officeDocument/2006/relationships/hyperlink" Target="https://advance.lexis.com/api/document?collection=cases-ca&amp;id=urn:contentItem:5F7T-S7N1-JW09-M0RX-00000-00&amp;context=" TargetMode="External" /><Relationship Id="rId895" Type="http://schemas.openxmlformats.org/officeDocument/2006/relationships/hyperlink" Target="https://advance.lexis.com/api/document?collection=legislation-ca&amp;id=urn:contentItem:5VYK-WB41-F22N-X4VK-00000-00&amp;context=" TargetMode="External" /><Relationship Id="rId896" Type="http://schemas.openxmlformats.org/officeDocument/2006/relationships/hyperlink" Target="https://advance.lexis.com/api/document?collection=cases-ca&amp;id=urn:contentItem:5F8T-N3V1-FC1F-M4C3-00000-00&amp;context=" TargetMode="External" /><Relationship Id="rId897" Type="http://schemas.openxmlformats.org/officeDocument/2006/relationships/hyperlink" Target="https://advance.lexis.com/api/document?collection=cases-ca&amp;id=urn:contentItem:5F8W-M451-FG12-651S-00000-00&amp;context=" TargetMode="External" /><Relationship Id="rId898" Type="http://schemas.openxmlformats.org/officeDocument/2006/relationships/hyperlink" Target="https://advance.lexis.com/api/document?collection=cases-ca&amp;id=urn:contentItem:5F8W-M461-FCYK-23XJ-00000-00&amp;context=" TargetMode="External" /><Relationship Id="rId899" Type="http://schemas.openxmlformats.org/officeDocument/2006/relationships/hyperlink" Target="https://advance.lexis.com/api/document?collection=cases-ca&amp;id=urn:contentItem:5F7T-S7F1-JFKM-61HH-00000-00&amp;context=" TargetMode="External" /><Relationship Id="rId9" Type="http://schemas.openxmlformats.org/officeDocument/2006/relationships/footer" Target="footer3.xml" /><Relationship Id="rId90" Type="http://schemas.openxmlformats.org/officeDocument/2006/relationships/header" Target="header21.xml" /><Relationship Id="rId900" Type="http://schemas.openxmlformats.org/officeDocument/2006/relationships/hyperlink" Target="https://advance.lexis.com/api/document?collection=cases-ca&amp;id=urn:contentItem:5F7T-S7D1-FBFS-S1M0-00000-00&amp;context=" TargetMode="External" /><Relationship Id="rId901" Type="http://schemas.openxmlformats.org/officeDocument/2006/relationships/hyperlink" Target="https://advance.lexis.com/api/document?collection=cases-ca&amp;id=urn:contentItem:5F7F-5RH1-JTGH-B0J6-00000-00&amp;context=" TargetMode="External" /><Relationship Id="rId902" Type="http://schemas.openxmlformats.org/officeDocument/2006/relationships/header" Target="header130.xml" /><Relationship Id="rId903" Type="http://schemas.openxmlformats.org/officeDocument/2006/relationships/header" Target="header131.xml" /><Relationship Id="rId904" Type="http://schemas.openxmlformats.org/officeDocument/2006/relationships/footer" Target="footer130.xml" /><Relationship Id="rId905" Type="http://schemas.openxmlformats.org/officeDocument/2006/relationships/footer" Target="footer131.xml" /><Relationship Id="rId906" Type="http://schemas.openxmlformats.org/officeDocument/2006/relationships/header" Target="header132.xml" /><Relationship Id="rId907" Type="http://schemas.openxmlformats.org/officeDocument/2006/relationships/footer" Target="footer132.xml" /><Relationship Id="rId908" Type="http://schemas.openxmlformats.org/officeDocument/2006/relationships/hyperlink" Target="https://advance.lexis.com/api/document?collection=cases-ca&amp;id=urn:contentItem:5F7T-S7F1-JFKM-61R6-00000-00&amp;context=" TargetMode="External" /><Relationship Id="rId909" Type="http://schemas.openxmlformats.org/officeDocument/2006/relationships/hyperlink" Target="https://advance.lexis.com/api/document?collection=cases-ca&amp;id=urn:contentItem:5F8T-N3V1-JF75-M3K1-00000-00&amp;context=" TargetMode="External" /><Relationship Id="rId91" Type="http://schemas.openxmlformats.org/officeDocument/2006/relationships/footer" Target="footer21.xml" /><Relationship Id="rId910" Type="http://schemas.openxmlformats.org/officeDocument/2006/relationships/hyperlink" Target="https://advance.lexis.com/api/document?collection=cases-ca&amp;id=urn:contentItem:5F7T-S7C1-F7VM-S3BT-00000-00&amp;context=" TargetMode="External" /><Relationship Id="rId911" Type="http://schemas.openxmlformats.org/officeDocument/2006/relationships/hyperlink" Target="https://advance.lexis.com/api/document?collection=cases-ca&amp;id=urn:contentItem:5F81-VJX1-FFTT-X1G9-00000-00&amp;context=" TargetMode="External" /><Relationship Id="rId912" Type="http://schemas.openxmlformats.org/officeDocument/2006/relationships/hyperlink" Target="https://advance.lexis.com/api/document?collection=cases-ca&amp;id=urn:contentItem:5F81-VJX1-JJYN-B4WC-00000-00&amp;context=" TargetMode="External" /><Relationship Id="rId913" Type="http://schemas.openxmlformats.org/officeDocument/2006/relationships/hyperlink" Target="https://advance.lexis.com/api/document?collection=cases-ca&amp;id=urn:contentItem:5F7T-S7D1-FFFC-B147-00000-00&amp;context=" TargetMode="External" /><Relationship Id="rId914" Type="http://schemas.openxmlformats.org/officeDocument/2006/relationships/hyperlink" Target="https://advance.lexis.com/api/document?collection=cases-ca&amp;id=urn:contentItem:5F7T-S6T1-F528-G113-00000-00&amp;context=" TargetMode="External" /><Relationship Id="rId915" Type="http://schemas.openxmlformats.org/officeDocument/2006/relationships/hyperlink" Target="https://advance.lexis.com/api/document?collection=cases-ca&amp;id=urn:contentItem:5F7T-XPS1-F016-S52X-00000-00&amp;context=" TargetMode="External" /><Relationship Id="rId916" Type="http://schemas.openxmlformats.org/officeDocument/2006/relationships/hyperlink" Target="https://advance.lexis.com/api/document?collection=cases-ca&amp;id=urn:contentItem:5F7H-KW91-F57G-S0CR-00000-00&amp;context=" TargetMode="External" /><Relationship Id="rId917" Type="http://schemas.openxmlformats.org/officeDocument/2006/relationships/hyperlink" Target="https://advance.lexis.com/api/document?collection=cases-ca&amp;id=urn:contentItem:5F7T-S6V1-JC0G-62J9-00000-00&amp;context=" TargetMode="External" /><Relationship Id="rId918" Type="http://schemas.openxmlformats.org/officeDocument/2006/relationships/hyperlink" Target="https://advance.lexis.com/api/document?collection=cases-ca&amp;id=urn:contentItem:5F8T-N3S1-JT99-255N-00000-00&amp;context=" TargetMode="External" /><Relationship Id="rId919" Type="http://schemas.openxmlformats.org/officeDocument/2006/relationships/hyperlink" Target="https://advance.lexis.com/api/document?collection=cases-ca&amp;id=urn:contentItem:5F81-VJW1-JF75-M1DC-00000-00&amp;context=" TargetMode="External" /><Relationship Id="rId92" Type="http://schemas.openxmlformats.org/officeDocument/2006/relationships/hyperlink" Target="https://advance.lexis.com/api/document?collection=cases-ca&amp;id=urn:contentItem:5F7T-S7C1-JS0R-21Y7-00000-00&amp;context=" TargetMode="External" /><Relationship Id="rId920" Type="http://schemas.openxmlformats.org/officeDocument/2006/relationships/hyperlink" Target="https://advance.lexis.com/api/document?collection=cases-ca&amp;id=urn:contentItem:5F7T-S761-FFMK-M0TX-00000-00&amp;context=" TargetMode="External" /><Relationship Id="rId921" Type="http://schemas.openxmlformats.org/officeDocument/2006/relationships/hyperlink" Target="https://advance.lexis.com/api/document?collection=cases-ca&amp;id=urn:contentItem:5F7T-S771-JN14-G2C9-00000-00&amp;context=" TargetMode="External" /><Relationship Id="rId922" Type="http://schemas.openxmlformats.org/officeDocument/2006/relationships/hyperlink" Target="https://advance.lexis.com/api/document?collection=cases-ca&amp;id=urn:contentItem:5F7T-S7G1-JX3N-B283-00000-00&amp;context=" TargetMode="External" /><Relationship Id="rId923" Type="http://schemas.openxmlformats.org/officeDocument/2006/relationships/hyperlink" Target="https://advance.lexis.com/api/document?collection=cases-ca&amp;id=urn:contentItem:5F7T-S761-JCBX-S0G4-00000-00&amp;context=" TargetMode="External" /><Relationship Id="rId924" Type="http://schemas.openxmlformats.org/officeDocument/2006/relationships/hyperlink" Target="https://advance.lexis.com/api/document?collection=cases-ca&amp;id=urn:contentItem:5F8T-N3V1-FC1F-M4BS-00000-00&amp;context=" TargetMode="External" /><Relationship Id="rId925" Type="http://schemas.openxmlformats.org/officeDocument/2006/relationships/header" Target="header133.xml" /><Relationship Id="rId926" Type="http://schemas.openxmlformats.org/officeDocument/2006/relationships/header" Target="header134.xml" /><Relationship Id="rId927" Type="http://schemas.openxmlformats.org/officeDocument/2006/relationships/footer" Target="footer133.xml" /><Relationship Id="rId928" Type="http://schemas.openxmlformats.org/officeDocument/2006/relationships/footer" Target="footer134.xml" /><Relationship Id="rId929" Type="http://schemas.openxmlformats.org/officeDocument/2006/relationships/header" Target="header135.xml" /><Relationship Id="rId93" Type="http://schemas.openxmlformats.org/officeDocument/2006/relationships/hyperlink" Target="https://advance.lexis.com/api/document?collection=legislation-ca&amp;id=urn:contentItem:5F41-1FG1-FC1F-M12G-00000-00&amp;context=" TargetMode="External" /><Relationship Id="rId930" Type="http://schemas.openxmlformats.org/officeDocument/2006/relationships/footer" Target="footer135.xml" /><Relationship Id="rId931" Type="http://schemas.openxmlformats.org/officeDocument/2006/relationships/hyperlink" Target="https://advance.lexis.com/api/document?collection=cases-ca&amp;id=urn:contentItem:5W6N-2JC1-JS0R-246N-00000-00&amp;context=" TargetMode="External" /><Relationship Id="rId932" Type="http://schemas.openxmlformats.org/officeDocument/2006/relationships/hyperlink" Target="https://advance.lexis.com/api/document?collection=cases-ca&amp;id=urn:contentItem:5XS5-37N1-FJTD-G2J0-00000-00&amp;context=" TargetMode="External" /><Relationship Id="rId933" Type="http://schemas.openxmlformats.org/officeDocument/2006/relationships/hyperlink" Target="https://advance.lexis.com/api/document?collection=cases-ca&amp;id=urn:contentItem:5SFV-FTC1-JSXV-G04F-00000-00&amp;context=" TargetMode="External" /><Relationship Id="rId934" Type="http://schemas.openxmlformats.org/officeDocument/2006/relationships/hyperlink" Target="https://advance.lexis.com/api/document?collection=cases-ca&amp;id=urn:contentItem:5P98-G3F1-FFMK-M3VC-00000-00&amp;context=" TargetMode="External" /><Relationship Id="rId935" Type="http://schemas.openxmlformats.org/officeDocument/2006/relationships/hyperlink" Target="https://advance.lexis.com/api/document?collection=cases-ca&amp;id=urn:contentItem:5MPH-JVD1-F27X-60KJ-00000-00&amp;context=" TargetMode="External" /><Relationship Id="rId936" Type="http://schemas.openxmlformats.org/officeDocument/2006/relationships/hyperlink" Target="https://advance.lexis.com/api/document?collection=cases-ca&amp;id=urn:contentItem:5MJ7-NBJ1-F1WF-M27F-00000-00&amp;context=" TargetMode="External" /><Relationship Id="rId937" Type="http://schemas.openxmlformats.org/officeDocument/2006/relationships/hyperlink" Target="https://advance.lexis.com/api/document?collection=cases-ca&amp;id=urn:contentItem:5GCC-XVC1-JSRM-60S4-00000-00&amp;context=" TargetMode="External" /><Relationship Id="rId938" Type="http://schemas.openxmlformats.org/officeDocument/2006/relationships/hyperlink" Target="https://advance.lexis.com/api/document?collection=cases-ca&amp;id=urn:contentItem:5GCC-XVC1-F900-G4S3-00000-00&amp;context=" TargetMode="External" /><Relationship Id="rId939" Type="http://schemas.openxmlformats.org/officeDocument/2006/relationships/hyperlink" Target="https://advance.lexis.com/api/document?collection=cases-ca&amp;id=urn:contentItem:5F7T-S7H1-F4GK-M2X1-00000-00&amp;context=" TargetMode="External" /><Relationship Id="rId94" Type="http://schemas.openxmlformats.org/officeDocument/2006/relationships/hyperlink" Target="https://advance.lexis.com/api/document?collection=legislation-ca&amp;id=urn:contentItem:5F41-1FJ1-F7ND-G09N-00000-00&amp;context=" TargetMode="External" /><Relationship Id="rId940" Type="http://schemas.openxmlformats.org/officeDocument/2006/relationships/hyperlink" Target="https://advance.lexis.com/api/document?collection=cases-ca&amp;id=urn:contentItem:5JW3-TKC1-JGPY-X4PG-00000-00&amp;context=" TargetMode="External" /><Relationship Id="rId941" Type="http://schemas.openxmlformats.org/officeDocument/2006/relationships/hyperlink" Target="https://advance.lexis.com/api/document?collection=cases-ca&amp;id=urn:contentItem:5F7T-S7P1-F2TK-23KN-00000-00&amp;context=" TargetMode="External" /><Relationship Id="rId942" Type="http://schemas.openxmlformats.org/officeDocument/2006/relationships/hyperlink" Target="https://advance.lexis.com/api/document?collection=cases-ca&amp;id=urn:contentItem:5F7T-S771-JSJC-X038-00000-00&amp;context=" TargetMode="External" /><Relationship Id="rId943" Type="http://schemas.openxmlformats.org/officeDocument/2006/relationships/hyperlink" Target="https://advance.lexis.com/api/document?collection=cases-ca&amp;id=urn:contentItem:5F7T-S791-JCJ5-251B-00000-00&amp;context=" TargetMode="External" /><Relationship Id="rId944" Type="http://schemas.openxmlformats.org/officeDocument/2006/relationships/hyperlink" Target="https://advance.lexis.com/api/document?collection=cases-ca&amp;id=urn:contentItem:5F7T-S7M1-DYMS-62FG-00000-00&amp;context=" TargetMode="External" /><Relationship Id="rId945" Type="http://schemas.openxmlformats.org/officeDocument/2006/relationships/image" Target="media/image5.jpeg" /><Relationship Id="rId946" Type="http://schemas.openxmlformats.org/officeDocument/2006/relationships/image" Target="media/image6.jpeg" /><Relationship Id="rId947" Type="http://schemas.openxmlformats.org/officeDocument/2006/relationships/hyperlink" Target="https://advance.lexis.com/api/document?collection=cases-ca&amp;id=urn:contentItem:5TX5-0TT1-JTGH-B0JT-00000-00&amp;context=" TargetMode="External" /><Relationship Id="rId948" Type="http://schemas.openxmlformats.org/officeDocument/2006/relationships/hyperlink" Target="https://advance.lexis.com/api/document?collection=cases-ca&amp;id=urn:contentItem:5F7T-S7G1-JWR6-S1K1-00000-00&amp;context=" TargetMode="External" /><Relationship Id="rId949" Type="http://schemas.openxmlformats.org/officeDocument/2006/relationships/hyperlink" Target="https://advance.lexis.com/api/document?collection=cases-ca&amp;id=urn:contentItem:5N54-05W1-JPGX-S1H7-00000-00&amp;context=" TargetMode="External" /><Relationship Id="rId95" Type="http://schemas.openxmlformats.org/officeDocument/2006/relationships/hyperlink" Target="https://advance.lexis.com/api/document?collection=cases-ca&amp;id=urn:contentItem:5F7T-S781-F7G6-63SK-00000-00&amp;context=" TargetMode="External" /><Relationship Id="rId950" Type="http://schemas.openxmlformats.org/officeDocument/2006/relationships/header" Target="header136.xml" /><Relationship Id="rId951" Type="http://schemas.openxmlformats.org/officeDocument/2006/relationships/header" Target="header137.xml" /><Relationship Id="rId952" Type="http://schemas.openxmlformats.org/officeDocument/2006/relationships/footer" Target="footer136.xml" /><Relationship Id="rId953" Type="http://schemas.openxmlformats.org/officeDocument/2006/relationships/footer" Target="footer137.xml" /><Relationship Id="rId954" Type="http://schemas.openxmlformats.org/officeDocument/2006/relationships/header" Target="header138.xml" /><Relationship Id="rId955" Type="http://schemas.openxmlformats.org/officeDocument/2006/relationships/footer" Target="footer138.xml" /><Relationship Id="rId956" Type="http://schemas.openxmlformats.org/officeDocument/2006/relationships/hyperlink" Target="https://advance.lexis.com/api/document?collection=cases-ca&amp;id=urn:contentItem:5WHS-HCD1-FGJR-21WG-00000-00&amp;context=" TargetMode="External" /><Relationship Id="rId957" Type="http://schemas.openxmlformats.org/officeDocument/2006/relationships/hyperlink" Target="https://advance.lexis.com/api/document?collection=cases-ca&amp;id=urn:contentItem:5VM6-BH51-FFFC-B0XK-00000-00&amp;context=" TargetMode="External" /><Relationship Id="rId958" Type="http://schemas.openxmlformats.org/officeDocument/2006/relationships/hyperlink" Target="https://advance.lexis.com/api/document?collection=analytical-materials-ca&amp;id=urn:contentItem:5MF8-MMJ1-DYFH-X0KJ-00000-00&amp;context=" TargetMode="External" /><Relationship Id="rId959" Type="http://schemas.openxmlformats.org/officeDocument/2006/relationships/hyperlink" Target="https://advance.lexis.com/api/document?collection=legislation-ca&amp;id=urn:contentItem:5F41-1FK1-JSXV-G0KK-00000-00&amp;context=" TargetMode="External" /><Relationship Id="rId96" Type="http://schemas.openxmlformats.org/officeDocument/2006/relationships/hyperlink" Target="https://advance.lexis.com/api/document?collection=cases-ca&amp;id=urn:contentItem:5F7T-S781-F900-G11V-00000-00&amp;context=" TargetMode="External" /><Relationship Id="rId960" Type="http://schemas.openxmlformats.org/officeDocument/2006/relationships/hyperlink" Target="https://advance.lexis.com/api/document?collection=cases-ca&amp;id=urn:contentItem:5F7T-S7M1-JCRC-B1KJ-00000-00&amp;context=" TargetMode="External" /><Relationship Id="rId961" Type="http://schemas.openxmlformats.org/officeDocument/2006/relationships/hyperlink" Target="https://advance.lexis.com/api/document?collection=cases-ca&amp;id=urn:contentItem:5F7T-S7K1-F1H1-223N-00000-00&amp;context=" TargetMode="External" /><Relationship Id="rId962" Type="http://schemas.openxmlformats.org/officeDocument/2006/relationships/hyperlink" Target="https://advance.lexis.com/api/document?collection=cases-ca&amp;id=urn:contentItem:5F7T-S741-F8D9-M1JT-00000-00&amp;context=" TargetMode="External" /><Relationship Id="rId963" Type="http://schemas.openxmlformats.org/officeDocument/2006/relationships/hyperlink" Target="https://advance.lexis.com/api/document?collection=cases-ca&amp;id=urn:contentItem:5F7T-S741-F528-G27D-00000-00&amp;context=" TargetMode="External" /><Relationship Id="rId964" Type="http://schemas.openxmlformats.org/officeDocument/2006/relationships/hyperlink" Target="https://advance.lexis.com/api/document?collection=cases-ca&amp;id=urn:contentItem:5F7T-S751-JNS1-M1CP-00000-00&amp;context=" TargetMode="External" /><Relationship Id="rId965" Type="http://schemas.openxmlformats.org/officeDocument/2006/relationships/hyperlink" Target="https://advance.lexis.com/api/document?collection=cases-ca&amp;id=urn:contentItem:5F7T-S7F1-F7VM-S3XP-00000-00&amp;context=" TargetMode="External" /><Relationship Id="rId966" Type="http://schemas.openxmlformats.org/officeDocument/2006/relationships/hyperlink" Target="https://advance.lexis.com/api/document?collection=cases-ca&amp;id=urn:contentItem:5F7T-S721-F8D9-M0PN-00000-00&amp;context=" TargetMode="External" /><Relationship Id="rId967" Type="http://schemas.openxmlformats.org/officeDocument/2006/relationships/hyperlink" Target="https://advance.lexis.com/api/document?collection=cases-ca&amp;id=urn:contentItem:5F7T-S771-JW5H-X22P-00000-00&amp;context=" TargetMode="External" /><Relationship Id="rId968" Type="http://schemas.openxmlformats.org/officeDocument/2006/relationships/hyperlink" Target="https://advance.lexis.com/api/document?collection=cases-ca&amp;id=urn:contentItem:5KWF-MK11-DY89-M40C-00000-00&amp;context=" TargetMode="External" /><Relationship Id="rId969" Type="http://schemas.openxmlformats.org/officeDocument/2006/relationships/hyperlink" Target="https://advance.lexis.com/api/document?collection=cases-ca&amp;id=urn:contentItem:5F7T-S781-FH4C-X2T3-00000-00&amp;context=" TargetMode="External" /><Relationship Id="rId97" Type="http://schemas.openxmlformats.org/officeDocument/2006/relationships/hyperlink" Target="https://advance.lexis.com/api/document?collection=cases-ca&amp;id=urn:contentItem:5F8T-N3T1-JFKM-655W-00000-00&amp;context=" TargetMode="External" /><Relationship Id="rId970" Type="http://schemas.openxmlformats.org/officeDocument/2006/relationships/header" Target="header139.xml" /><Relationship Id="rId971" Type="http://schemas.openxmlformats.org/officeDocument/2006/relationships/header" Target="header140.xml" /><Relationship Id="rId972" Type="http://schemas.openxmlformats.org/officeDocument/2006/relationships/footer" Target="footer139.xml" /><Relationship Id="rId973" Type="http://schemas.openxmlformats.org/officeDocument/2006/relationships/footer" Target="footer140.xml" /><Relationship Id="rId974" Type="http://schemas.openxmlformats.org/officeDocument/2006/relationships/header" Target="header141.xml" /><Relationship Id="rId975" Type="http://schemas.openxmlformats.org/officeDocument/2006/relationships/footer" Target="footer141.xml" /><Relationship Id="rId976" Type="http://schemas.openxmlformats.org/officeDocument/2006/relationships/hyperlink" Target="https://advance.lexis.com/api/document?collection=cases-ca&amp;id=urn:contentItem:5GCC-XVB1-JGHR-M47B-00000-00&amp;context=" TargetMode="External" /><Relationship Id="rId977" Type="http://schemas.openxmlformats.org/officeDocument/2006/relationships/hyperlink" Target="https://advance.lexis.com/api/document?collection=legislation-ca&amp;id=urn:contentItem:5F3B-B7G1-K0HK-2164-00000-00&amp;context=" TargetMode="External" /><Relationship Id="rId978" Type="http://schemas.openxmlformats.org/officeDocument/2006/relationships/hyperlink" Target="https://advance.lexis.com/api/document?collection=legislation-ca&amp;id=urn:contentItem:5WBF-HSM1-JFDC-X45K-00000-00&amp;context=" TargetMode="External" /><Relationship Id="rId979" Type="http://schemas.openxmlformats.org/officeDocument/2006/relationships/image" Target="media/image7.png" /><Relationship Id="rId98" Type="http://schemas.openxmlformats.org/officeDocument/2006/relationships/header" Target="header22.xml" /><Relationship Id="rId980" Type="http://schemas.openxmlformats.org/officeDocument/2006/relationships/image" Target="media/image8.jpeg" /><Relationship Id="rId981" Type="http://schemas.openxmlformats.org/officeDocument/2006/relationships/image" Target="media/image9.jpeg" /><Relationship Id="rId982" Type="http://schemas.openxmlformats.org/officeDocument/2006/relationships/hyperlink" Target="https://advance.lexis.com/api/document?collection=cases-ca&amp;id=urn:contentItem:5F7T-S7P1-JG02-S46Y-00000-00&amp;context=" TargetMode="External" /><Relationship Id="rId983" Type="http://schemas.openxmlformats.org/officeDocument/2006/relationships/hyperlink" Target="https://advance.lexis.com/api/document?collection=cases-ca&amp;id=urn:contentItem:5F7T-S7H1-F4GK-M33F-00000-00&amp;context=" TargetMode="External" /><Relationship Id="rId984" Type="http://schemas.openxmlformats.org/officeDocument/2006/relationships/hyperlink" Target="https://advance.lexis.com/api/document?collection=cases-ca&amp;id=urn:contentItem:5F7T-S711-JNS1-M0VJ-00000-00&amp;context=" TargetMode="External" /><Relationship Id="rId985" Type="http://schemas.openxmlformats.org/officeDocument/2006/relationships/hyperlink" Target="https://advance.lexis.com/api/document?collection=cases-ca&amp;id=urn:contentItem:5F7T-S6Y1-F06F-22VH-00000-00&amp;context=" TargetMode="External" /><Relationship Id="rId986" Type="http://schemas.openxmlformats.org/officeDocument/2006/relationships/hyperlink" Target="https://advance.lexis.com/api/document?collection=cases-ca&amp;id=urn:contentItem:5F7T-S771-JW5H-X1YB-00000-00&amp;context=" TargetMode="External" /><Relationship Id="rId987" Type="http://schemas.openxmlformats.org/officeDocument/2006/relationships/hyperlink" Target="https://advance.lexis.com/api/document?collection=cases-ca&amp;id=urn:contentItem:5F7T-S701-F8KH-X1BD-00000-00&amp;context=" TargetMode="External" /><Relationship Id="rId988" Type="http://schemas.openxmlformats.org/officeDocument/2006/relationships/hyperlink" Target="https://advance.lexis.com/api/document?collection=cases-ca&amp;id=urn:contentItem:5F7T-S711-F5KY-B15D-00000-00&amp;context=" TargetMode="External" /><Relationship Id="rId989" Type="http://schemas.openxmlformats.org/officeDocument/2006/relationships/hyperlink" Target="https://advance.lexis.com/api/document?collection=cases-ca&amp;id=urn:contentItem:5F7T-S7K1-DY33-B1CM-00000-00&amp;context=" TargetMode="External" /><Relationship Id="rId99" Type="http://schemas.openxmlformats.org/officeDocument/2006/relationships/header" Target="header23.xml" /><Relationship Id="rId990" Type="http://schemas.openxmlformats.org/officeDocument/2006/relationships/hyperlink" Target="https://advance.lexis.com/api/document?collection=cases-ca&amp;id=urn:contentItem:5F7T-S781-JC5P-G1G3-00000-00&amp;context=" TargetMode="External" /><Relationship Id="rId991" Type="http://schemas.openxmlformats.org/officeDocument/2006/relationships/hyperlink" Target="https://advance.lexis.com/api/document?collection=cases-ca&amp;id=urn:contentItem:5F7T-S741-F57G-S205-00000-00&amp;context=" TargetMode="External" /><Relationship Id="rId992" Type="http://schemas.openxmlformats.org/officeDocument/2006/relationships/hyperlink" Target="https://advance.lexis.com/api/document?collection=cases-ca&amp;id=urn:contentItem:5F7T-S7H1-K054-G2B6-00000-00&amp;context=" TargetMode="External" /><Relationship Id="rId993" Type="http://schemas.openxmlformats.org/officeDocument/2006/relationships/hyperlink" Target="https://advance.lexis.com/api/document?collection=cases-ca&amp;id=urn:contentItem:5F8T-N3T1-JJSF-2395-00000-00&amp;context=" TargetMode="External" /><Relationship Id="rId994" Type="http://schemas.openxmlformats.org/officeDocument/2006/relationships/hyperlink" Target="https://advance.lexis.com/api/document?collection=cases-ca&amp;id=urn:contentItem:5F8T-N3S1-JT99-24MJ-00000-00&amp;context=" TargetMode="External" /><Relationship Id="rId995" Type="http://schemas.openxmlformats.org/officeDocument/2006/relationships/hyperlink" Target="https://advance.lexis.com/api/document?collection=cases-ca&amp;id=urn:contentItem:5F7T-S7N1-JWR6-S2B7-00000-00&amp;context=" TargetMode="External" /><Relationship Id="rId996" Type="http://schemas.openxmlformats.org/officeDocument/2006/relationships/hyperlink" Target="https://advance.lexis.com/api/document?collection=cases-ca&amp;id=urn:contentItem:5F7T-S761-F81W-21Y2-00000-00&amp;context=" TargetMode="External" /><Relationship Id="rId997" Type="http://schemas.openxmlformats.org/officeDocument/2006/relationships/hyperlink" Target="https://advance.lexis.com/api/document?collection=cases-ca&amp;id=urn:contentItem:5F7T-S711-JB2B-S11F-00000-00&amp;context=" TargetMode="External" /><Relationship Id="rId998" Type="http://schemas.openxmlformats.org/officeDocument/2006/relationships/image" Target="media/image10.png" /><Relationship Id="rId999" Type="http://schemas.openxmlformats.org/officeDocument/2006/relationships/hyperlink" Target="https://advance.lexis.com/api/document?collection=legislation-ca&amp;id=urn:contentItem:5VYK-W9R1-F2MB-S2P6-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Ainsworth Lumber Co. v. KMW Energy Inc., [2000] B.C.J. No. 1955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115045756</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